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6AD93C">
      <w:pPr>
        <w:spacing w:line="360" w:lineRule="auto"/>
        <w:jc w:val="center"/>
        <w:rPr>
          <w:rFonts w:eastAsia="黑体"/>
          <w:b/>
          <w:sz w:val="52"/>
          <w:szCs w:val="52"/>
        </w:rPr>
      </w:pP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1914525</wp:posOffset>
            </wp:positionH>
            <wp:positionV relativeFrom="paragraph">
              <wp:posOffset>726440</wp:posOffset>
            </wp:positionV>
            <wp:extent cx="1436370" cy="1436370"/>
            <wp:effectExtent l="0" t="0" r="11430" b="1143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37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B996193">
      <w:pPr>
        <w:ind w:firstLine="0" w:firstLineChars="0"/>
        <w:jc w:val="both"/>
        <w:rPr>
          <w:rFonts w:hint="eastAsia" w:ascii="思源黑体" w:eastAsia="思源黑体"/>
          <w:b/>
          <w:sz w:val="52"/>
          <w:szCs w:val="52"/>
        </w:rPr>
      </w:pPr>
    </w:p>
    <w:p w14:paraId="759DFC5B">
      <w:pPr>
        <w:ind w:firstLine="0" w:firstLineChars="0"/>
        <w:jc w:val="center"/>
      </w:pPr>
      <w:r>
        <w:rPr>
          <w:rFonts w:hint="eastAsia" w:ascii="思源黑体" w:eastAsia="思源黑体"/>
          <w:b/>
          <w:sz w:val="52"/>
          <w:szCs w:val="52"/>
        </w:rPr>
        <w:t>河南省公共资源“智慧交易”平台</w:t>
      </w:r>
    </w:p>
    <w:p w14:paraId="49083D4C">
      <w:pPr>
        <w:ind w:firstLine="0" w:firstLineChars="0"/>
      </w:pPr>
    </w:p>
    <w:p w14:paraId="14214916">
      <w:pPr>
        <w:pStyle w:val="38"/>
        <w:jc w:val="center"/>
        <w:rPr>
          <w:rFonts w:hint="default" w:ascii="思源黑体" w:eastAsia="思源黑体"/>
          <w:b/>
          <w:color w:val="000000" w:themeColor="text1"/>
          <w:sz w:val="52"/>
          <w:szCs w:val="52"/>
          <w:lang w:val="en-US" w:eastAsia="zh-CN"/>
        </w:rPr>
      </w:pPr>
      <w:r>
        <w:rPr>
          <w:rFonts w:hint="eastAsia" w:ascii="思源黑体" w:eastAsia="思源黑体"/>
          <w:b/>
          <w:sz w:val="52"/>
          <w:szCs w:val="52"/>
          <w:lang w:val="en-US" w:eastAsia="zh-CN"/>
        </w:rPr>
        <w:t>市场主体系统-招标采购人</w:t>
      </w:r>
    </w:p>
    <w:p w14:paraId="3A3132E8">
      <w:pPr>
        <w:ind w:firstLine="0" w:firstLineChars="0"/>
        <w:jc w:val="center"/>
        <w:rPr>
          <w:rFonts w:ascii="思源黑体" w:eastAsia="思源黑体"/>
          <w:b/>
          <w:color w:val="000000" w:themeColor="text1"/>
          <w:sz w:val="52"/>
          <w:szCs w:val="52"/>
        </w:rPr>
      </w:pPr>
      <w:r>
        <w:rPr>
          <w:rFonts w:hint="eastAsia" w:ascii="思源黑体" w:eastAsia="思源黑体"/>
          <w:b/>
          <w:color w:val="000000" w:themeColor="text1"/>
          <w:sz w:val="52"/>
          <w:szCs w:val="52"/>
        </w:rPr>
        <w:t>操作手册</w:t>
      </w:r>
    </w:p>
    <w:p w14:paraId="36955DE7">
      <w:pPr>
        <w:rPr>
          <w:rFonts w:eastAsia="华文新魏"/>
          <w:b/>
          <w:spacing w:val="-70"/>
          <w:sz w:val="72"/>
          <w:szCs w:val="72"/>
        </w:rPr>
      </w:pPr>
    </w:p>
    <w:p w14:paraId="5C26B9B7">
      <w:pPr>
        <w:spacing w:line="360" w:lineRule="auto"/>
      </w:pPr>
    </w:p>
    <w:p w14:paraId="716AEED3">
      <w:pPr>
        <w:spacing w:line="360" w:lineRule="auto"/>
      </w:pPr>
    </w:p>
    <w:p w14:paraId="0C6104C7">
      <w:pPr>
        <w:widowControl/>
        <w:spacing w:line="360" w:lineRule="auto"/>
        <w:jc w:val="center"/>
        <w:rPr>
          <w:rFonts w:eastAsia="黑体"/>
          <w:b/>
          <w:szCs w:val="21"/>
        </w:rPr>
      </w:pPr>
    </w:p>
    <w:p w14:paraId="170EC6A2">
      <w:pPr>
        <w:widowControl/>
        <w:spacing w:line="360" w:lineRule="auto"/>
        <w:jc w:val="center"/>
        <w:rPr>
          <w:rFonts w:eastAsia="黑体"/>
          <w:b/>
          <w:szCs w:val="21"/>
        </w:rPr>
      </w:pPr>
    </w:p>
    <w:p w14:paraId="1612FC61">
      <w:pPr>
        <w:widowControl/>
        <w:spacing w:line="360" w:lineRule="auto"/>
        <w:jc w:val="center"/>
        <w:rPr>
          <w:rFonts w:hint="eastAsia" w:ascii="思源黑体" w:hAnsi="Times New Roman" w:eastAsia="思源黑体" w:cs="Times New Roman"/>
          <w:b/>
          <w:kern w:val="2"/>
          <w:sz w:val="52"/>
          <w:szCs w:val="52"/>
          <w:lang w:val="en-US" w:eastAsia="zh-CN" w:bidi="ar-SA"/>
        </w:rPr>
      </w:pPr>
      <w:r>
        <w:rPr>
          <w:rFonts w:hint="eastAsia" w:ascii="思源黑体" w:eastAsia="思源黑体" w:cs="Times New Roman"/>
          <w:b/>
          <w:kern w:val="2"/>
          <w:sz w:val="52"/>
          <w:szCs w:val="52"/>
          <w:lang w:val="en-US" w:eastAsia="zh-CN" w:bidi="ar-SA"/>
        </w:rPr>
        <w:t>V</w:t>
      </w:r>
      <w:r>
        <w:rPr>
          <w:rFonts w:hint="eastAsia" w:ascii="思源黑体" w:hAnsi="Times New Roman" w:eastAsia="思源黑体" w:cs="Times New Roman"/>
          <w:b/>
          <w:kern w:val="2"/>
          <w:sz w:val="52"/>
          <w:szCs w:val="52"/>
          <w:lang w:val="en-US" w:eastAsia="zh-CN" w:bidi="ar-SA"/>
        </w:rPr>
        <w:t>1.0</w:t>
      </w:r>
    </w:p>
    <w:p w14:paraId="5F8076BD">
      <w:pPr>
        <w:widowControl/>
        <w:spacing w:line="360" w:lineRule="auto"/>
        <w:jc w:val="center"/>
        <w:rPr>
          <w:rFonts w:eastAsia="黑体"/>
          <w:b/>
          <w:szCs w:val="21"/>
        </w:rPr>
      </w:pPr>
    </w:p>
    <w:p w14:paraId="3C31B6C2">
      <w:pPr>
        <w:widowControl/>
        <w:spacing w:line="360" w:lineRule="auto"/>
        <w:jc w:val="center"/>
        <w:rPr>
          <w:rFonts w:eastAsia="黑体"/>
          <w:b/>
          <w:szCs w:val="21"/>
        </w:rPr>
      </w:pPr>
    </w:p>
    <w:p w14:paraId="02B7AD23">
      <w:pPr>
        <w:widowControl/>
        <w:spacing w:line="360" w:lineRule="auto"/>
        <w:jc w:val="center"/>
        <w:rPr>
          <w:sz w:val="24"/>
        </w:rPr>
      </w:pPr>
      <w:r>
        <w:rPr>
          <w:rFonts w:eastAsia="黑体"/>
          <w:b/>
          <w:szCs w:val="21"/>
        </w:rPr>
        <w:br w:type="page"/>
      </w:r>
      <w:r>
        <w:rPr>
          <w:b/>
          <w:spacing w:val="200"/>
          <w:sz w:val="24"/>
        </w:rPr>
        <w:t>目录</w:t>
      </w:r>
    </w:p>
    <w:p w14:paraId="25DD053C">
      <w:pPr>
        <w:pStyle w:val="17"/>
        <w:tabs>
          <w:tab w:val="right" w:leader="dot" w:pos="8296"/>
        </w:tabs>
        <w:ind w:left="420" w:hanging="420"/>
        <w:rPr>
          <w:rFonts w:asciiTheme="minorHAnsi" w:hAnsiTheme="minorHAnsi" w:eastAsiaTheme="minorEastAsia" w:cstheme="minorBidi"/>
          <w:bCs w:val="0"/>
          <w:caps w:val="0"/>
          <w:szCs w:val="22"/>
        </w:rPr>
      </w:pPr>
      <w:r>
        <w:rPr>
          <w:bCs w:val="0"/>
          <w:caps w:val="0"/>
        </w:rPr>
        <w:fldChar w:fldCharType="begin"/>
      </w:r>
      <w:r>
        <w:rPr>
          <w:bCs w:val="0"/>
          <w:caps w:val="0"/>
        </w:rPr>
        <w:instrText xml:space="preserve"> TOC \o "1-6" \h \z \u </w:instrText>
      </w:r>
      <w:r>
        <w:rPr>
          <w:bCs w:val="0"/>
          <w:caps w:val="0"/>
        </w:rPr>
        <w:fldChar w:fldCharType="separate"/>
      </w:r>
      <w:r>
        <w:fldChar w:fldCharType="begin"/>
      </w:r>
      <w:r>
        <w:instrText xml:space="preserve"> HYPERLINK \l "_Toc70608135" </w:instrText>
      </w:r>
      <w:r>
        <w:fldChar w:fldCharType="separate"/>
      </w:r>
      <w:r>
        <w:rPr>
          <w:rStyle w:val="22"/>
        </w:rPr>
        <w:t>一、 系统前期准备</w:t>
      </w:r>
      <w:r>
        <w:tab/>
      </w:r>
      <w:r>
        <w:fldChar w:fldCharType="begin"/>
      </w:r>
      <w:r>
        <w:instrText xml:space="preserve"> PAGEREF _Toc70608135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7D649C90">
      <w:pPr>
        <w:pStyle w:val="18"/>
        <w:tabs>
          <w:tab w:val="right" w:leader="dot" w:pos="8296"/>
        </w:tabs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"_Toc70608136" </w:instrText>
      </w:r>
      <w:r>
        <w:fldChar w:fldCharType="separate"/>
      </w:r>
      <w:r>
        <w:rPr>
          <w:rStyle w:val="22"/>
        </w:rPr>
        <w:t>1.1、 系统地址及登录</w:t>
      </w:r>
      <w:r>
        <w:tab/>
      </w:r>
      <w:r>
        <w:fldChar w:fldCharType="begin"/>
      </w:r>
      <w:r>
        <w:instrText xml:space="preserve"> PAGEREF _Toc70608136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3B9FDF69">
      <w:pPr>
        <w:pStyle w:val="13"/>
        <w:rPr>
          <w:rFonts w:asciiTheme="minorHAnsi" w:hAnsiTheme="minorHAnsi" w:eastAsiaTheme="minorEastAsia" w:cstheme="minorBidi"/>
          <w:iCs w:val="0"/>
          <w:szCs w:val="22"/>
        </w:rPr>
      </w:pPr>
      <w:r>
        <w:fldChar w:fldCharType="begin"/>
      </w:r>
      <w:r>
        <w:instrText xml:space="preserve"> HYPERLINK \l "_Toc70608137" </w:instrText>
      </w:r>
      <w:r>
        <w:fldChar w:fldCharType="separate"/>
      </w:r>
      <w:r>
        <w:rPr>
          <w:rStyle w:val="22"/>
        </w:rPr>
        <w:t>1.1.1、 系统地址</w:t>
      </w:r>
      <w:r>
        <w:tab/>
      </w:r>
      <w:r>
        <w:fldChar w:fldCharType="begin"/>
      </w:r>
      <w:r>
        <w:instrText xml:space="preserve"> PAGEREF _Toc70608137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47B81AE5">
      <w:pPr>
        <w:pStyle w:val="18"/>
        <w:tabs>
          <w:tab w:val="right" w:leader="dot" w:pos="8296"/>
        </w:tabs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"_Toc70608138" </w:instrText>
      </w:r>
      <w:r>
        <w:fldChar w:fldCharType="separate"/>
      </w:r>
      <w:r>
        <w:rPr>
          <w:rStyle w:val="22"/>
        </w:rPr>
        <w:t>1.2、 浏览器配置</w:t>
      </w:r>
      <w:r>
        <w:tab/>
      </w:r>
      <w:r>
        <w:fldChar w:fldCharType="begin"/>
      </w:r>
      <w:r>
        <w:instrText xml:space="preserve"> PAGEREF _Toc70608138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 w14:paraId="712469FB">
      <w:pPr>
        <w:pStyle w:val="13"/>
        <w:rPr>
          <w:rFonts w:asciiTheme="minorHAnsi" w:hAnsiTheme="minorHAnsi" w:eastAsiaTheme="minorEastAsia" w:cstheme="minorBidi"/>
          <w:iCs w:val="0"/>
          <w:szCs w:val="22"/>
        </w:rPr>
      </w:pPr>
      <w:r>
        <w:fldChar w:fldCharType="begin"/>
      </w:r>
      <w:r>
        <w:instrText xml:space="preserve"> HYPERLINK \l "_Toc70608139" </w:instrText>
      </w:r>
      <w:r>
        <w:fldChar w:fldCharType="separate"/>
      </w:r>
      <w:r>
        <w:rPr>
          <w:rStyle w:val="22"/>
        </w:rPr>
        <w:t>1.2.1、 Internet选项</w:t>
      </w:r>
      <w:r>
        <w:tab/>
      </w:r>
      <w:r>
        <w:fldChar w:fldCharType="begin"/>
      </w:r>
      <w:r>
        <w:instrText xml:space="preserve"> PAGEREF _Toc70608139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 w14:paraId="35810157">
      <w:pPr>
        <w:pStyle w:val="13"/>
        <w:rPr>
          <w:rFonts w:asciiTheme="minorHAnsi" w:hAnsiTheme="minorHAnsi" w:eastAsiaTheme="minorEastAsia" w:cstheme="minorBidi"/>
          <w:iCs w:val="0"/>
          <w:szCs w:val="22"/>
        </w:rPr>
      </w:pPr>
      <w:r>
        <w:fldChar w:fldCharType="begin"/>
      </w:r>
      <w:r>
        <w:instrText xml:space="preserve"> HYPERLINK \l "_Toc70608140" </w:instrText>
      </w:r>
      <w:r>
        <w:fldChar w:fldCharType="separate"/>
      </w:r>
      <w:r>
        <w:rPr>
          <w:rStyle w:val="22"/>
        </w:rPr>
        <w:t>1.2.2、 关闭拦截工具</w:t>
      </w:r>
      <w:r>
        <w:tab/>
      </w:r>
      <w:r>
        <w:fldChar w:fldCharType="begin"/>
      </w:r>
      <w:r>
        <w:instrText xml:space="preserve"> PAGEREF _Toc70608140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 w14:paraId="57DE447F">
      <w:pPr>
        <w:pStyle w:val="13"/>
        <w:rPr>
          <w:rFonts w:asciiTheme="minorHAnsi" w:hAnsiTheme="minorHAnsi" w:eastAsiaTheme="minorEastAsia" w:cstheme="minorBidi"/>
          <w:iCs w:val="0"/>
          <w:szCs w:val="22"/>
        </w:rPr>
      </w:pPr>
      <w:r>
        <w:fldChar w:fldCharType="begin"/>
      </w:r>
      <w:r>
        <w:instrText xml:space="preserve"> HYPERLINK \l "_Toc70608141" </w:instrText>
      </w:r>
      <w:r>
        <w:fldChar w:fldCharType="separate"/>
      </w:r>
      <w:r>
        <w:rPr>
          <w:rStyle w:val="22"/>
        </w:rPr>
        <w:t>1.2.3、 设置兼容性模式</w:t>
      </w:r>
      <w:r>
        <w:tab/>
      </w:r>
      <w:r>
        <w:fldChar w:fldCharType="begin"/>
      </w:r>
      <w:r>
        <w:instrText xml:space="preserve"> PAGEREF _Toc70608141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 w14:paraId="2C4EFB74">
      <w:pPr>
        <w:pStyle w:val="18"/>
        <w:tabs>
          <w:tab w:val="right" w:leader="dot" w:pos="8296"/>
        </w:tabs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"_Toc70608142" </w:instrText>
      </w:r>
      <w:r>
        <w:fldChar w:fldCharType="separate"/>
      </w:r>
      <w:r>
        <w:rPr>
          <w:rStyle w:val="22"/>
        </w:rPr>
        <w:t>1.3、 驱动安装说明</w:t>
      </w:r>
      <w:r>
        <w:tab/>
      </w:r>
      <w:r>
        <w:fldChar w:fldCharType="begin"/>
      </w:r>
      <w:r>
        <w:instrText xml:space="preserve"> PAGEREF _Toc70608142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7216D51C">
      <w:pPr>
        <w:pStyle w:val="13"/>
        <w:rPr>
          <w:rFonts w:asciiTheme="minorHAnsi" w:hAnsiTheme="minorHAnsi" w:eastAsiaTheme="minorEastAsia" w:cstheme="minorBidi"/>
          <w:iCs w:val="0"/>
          <w:szCs w:val="22"/>
        </w:rPr>
      </w:pPr>
      <w:r>
        <w:fldChar w:fldCharType="begin"/>
      </w:r>
      <w:r>
        <w:instrText xml:space="preserve"> HYPERLINK \l "_Toc70608143" </w:instrText>
      </w:r>
      <w:r>
        <w:fldChar w:fldCharType="separate"/>
      </w:r>
      <w:r>
        <w:rPr>
          <w:rStyle w:val="22"/>
        </w:rPr>
        <w:t>1.3.1、 安装驱动程序</w:t>
      </w:r>
      <w:r>
        <w:tab/>
      </w:r>
      <w:r>
        <w:fldChar w:fldCharType="begin"/>
      </w:r>
      <w:r>
        <w:instrText xml:space="preserve"> PAGEREF _Toc70608143 \h 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4C79AE6A">
      <w:pPr>
        <w:pStyle w:val="17"/>
        <w:tabs>
          <w:tab w:val="right" w:leader="dot" w:pos="8296"/>
        </w:tabs>
        <w:ind w:left="420" w:hanging="420"/>
        <w:rPr>
          <w:rFonts w:asciiTheme="minorHAnsi" w:hAnsiTheme="minorHAnsi" w:eastAsiaTheme="minorEastAsia" w:cstheme="minorBidi"/>
          <w:bCs w:val="0"/>
          <w:caps w:val="0"/>
          <w:szCs w:val="22"/>
        </w:rPr>
      </w:pPr>
      <w:r>
        <w:fldChar w:fldCharType="begin"/>
      </w:r>
      <w:r>
        <w:instrText xml:space="preserve"> HYPERLINK \l "_Toc70608144" </w:instrText>
      </w:r>
      <w:r>
        <w:fldChar w:fldCharType="separate"/>
      </w:r>
      <w:r>
        <w:rPr>
          <w:rStyle w:val="22"/>
        </w:rPr>
        <w:t>二、 招标人管理</w:t>
      </w:r>
      <w:r>
        <w:tab/>
      </w:r>
      <w:r>
        <w:fldChar w:fldCharType="begin"/>
      </w:r>
      <w:r>
        <w:instrText xml:space="preserve"> PAGEREF _Toc70608144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 w14:paraId="61A02F2A">
      <w:pPr>
        <w:pStyle w:val="18"/>
        <w:tabs>
          <w:tab w:val="right" w:leader="dot" w:pos="8296"/>
        </w:tabs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"_Toc70608145" </w:instrText>
      </w:r>
      <w:r>
        <w:fldChar w:fldCharType="separate"/>
      </w:r>
      <w:r>
        <w:rPr>
          <w:rStyle w:val="22"/>
        </w:rPr>
        <w:t>2.1、 招标人注册</w:t>
      </w:r>
      <w:r>
        <w:tab/>
      </w:r>
      <w:r>
        <w:fldChar w:fldCharType="begin"/>
      </w:r>
      <w:r>
        <w:instrText xml:space="preserve"> PAGEREF _Toc70608145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 w14:paraId="7DE1AA21">
      <w:pPr>
        <w:pStyle w:val="18"/>
        <w:tabs>
          <w:tab w:val="right" w:leader="dot" w:pos="8296"/>
        </w:tabs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"_Toc70608146" </w:instrText>
      </w:r>
      <w:r>
        <w:fldChar w:fldCharType="separate"/>
      </w:r>
      <w:r>
        <w:rPr>
          <w:rStyle w:val="22"/>
        </w:rPr>
        <w:t>2.2、 市场主体库管理</w:t>
      </w:r>
      <w:r>
        <w:tab/>
      </w:r>
      <w:r>
        <w:fldChar w:fldCharType="begin"/>
      </w:r>
      <w:r>
        <w:instrText xml:space="preserve"> PAGEREF _Toc70608146 \h 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 w14:paraId="63F289F0">
      <w:pPr>
        <w:pStyle w:val="17"/>
        <w:tabs>
          <w:tab w:val="right" w:leader="dot" w:pos="8296"/>
        </w:tabs>
        <w:ind w:left="420" w:hanging="420"/>
        <w:rPr>
          <w:rFonts w:asciiTheme="minorHAnsi" w:hAnsiTheme="minorHAnsi" w:eastAsiaTheme="minorEastAsia" w:cstheme="minorBidi"/>
          <w:bCs w:val="0"/>
          <w:caps w:val="0"/>
          <w:szCs w:val="22"/>
        </w:rPr>
      </w:pPr>
      <w:r>
        <w:fldChar w:fldCharType="begin"/>
      </w:r>
      <w:r>
        <w:instrText xml:space="preserve"> HYPERLINK \l "_Toc70608147" </w:instrText>
      </w:r>
      <w:r>
        <w:fldChar w:fldCharType="separate"/>
      </w:r>
      <w:r>
        <w:rPr>
          <w:rStyle w:val="22"/>
        </w:rPr>
        <w:t>三、 业务管理</w:t>
      </w:r>
      <w:r>
        <w:tab/>
      </w:r>
      <w:r>
        <w:fldChar w:fldCharType="begin"/>
      </w:r>
      <w:r>
        <w:instrText xml:space="preserve"> PAGEREF _Toc70608147 \h 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 w14:paraId="394E9754">
      <w:pPr>
        <w:pStyle w:val="18"/>
        <w:tabs>
          <w:tab w:val="right" w:leader="dot" w:pos="8296"/>
        </w:tabs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"_Toc70608148" </w:instrText>
      </w:r>
      <w:r>
        <w:fldChar w:fldCharType="separate"/>
      </w:r>
      <w:r>
        <w:rPr>
          <w:rStyle w:val="22"/>
        </w:rPr>
        <w:t>3.1、 项目注册</w:t>
      </w:r>
      <w:r>
        <w:tab/>
      </w:r>
      <w:r>
        <w:fldChar w:fldCharType="begin"/>
      </w:r>
      <w:r>
        <w:instrText xml:space="preserve"> PAGEREF _Toc70608148 \h </w:instrText>
      </w:r>
      <w:r>
        <w:fldChar w:fldCharType="separate"/>
      </w:r>
      <w:r>
        <w:t>15</w:t>
      </w:r>
      <w:r>
        <w:fldChar w:fldCharType="end"/>
      </w:r>
      <w:r>
        <w:fldChar w:fldCharType="end"/>
      </w:r>
    </w:p>
    <w:p w14:paraId="4B4C589C">
      <w:pPr>
        <w:pStyle w:val="18"/>
        <w:tabs>
          <w:tab w:val="right" w:leader="dot" w:pos="8296"/>
        </w:tabs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"_Toc70608149" </w:instrText>
      </w:r>
      <w:r>
        <w:fldChar w:fldCharType="separate"/>
      </w:r>
      <w:r>
        <w:rPr>
          <w:rStyle w:val="22"/>
        </w:rPr>
        <w:t>3.2、 招标代理更换</w:t>
      </w:r>
      <w:r>
        <w:tab/>
      </w:r>
      <w:r>
        <w:fldChar w:fldCharType="begin"/>
      </w:r>
      <w:r>
        <w:instrText xml:space="preserve"> PAGEREF _Toc70608149 \h </w:instrText>
      </w:r>
      <w:r>
        <w:fldChar w:fldCharType="separate"/>
      </w:r>
      <w:r>
        <w:t>16</w:t>
      </w:r>
      <w:r>
        <w:fldChar w:fldCharType="end"/>
      </w:r>
      <w:r>
        <w:fldChar w:fldCharType="end"/>
      </w:r>
    </w:p>
    <w:p w14:paraId="4F020A23">
      <w:pPr>
        <w:rPr>
          <w:rFonts w:cs="Calibri"/>
          <w:bCs/>
          <w:caps/>
          <w:szCs w:val="20"/>
        </w:rPr>
      </w:pPr>
      <w:r>
        <w:rPr>
          <w:rFonts w:cs="Calibri"/>
          <w:bCs/>
          <w:caps/>
          <w:szCs w:val="20"/>
        </w:rPr>
        <w:fldChar w:fldCharType="end"/>
      </w:r>
    </w:p>
    <w:p w14:paraId="27D0777B">
      <w:pPr>
        <w:rPr>
          <w:rFonts w:cs="Calibri"/>
          <w:bCs/>
          <w:caps/>
          <w:szCs w:val="20"/>
        </w:rPr>
      </w:pPr>
    </w:p>
    <w:p w14:paraId="75F6B7CA">
      <w:pPr>
        <w:rPr>
          <w:rFonts w:cs="Calibri"/>
          <w:bCs/>
          <w:caps/>
          <w:szCs w:val="20"/>
        </w:rPr>
      </w:pPr>
    </w:p>
    <w:p w14:paraId="1DB7A4E0">
      <w:pPr>
        <w:rPr>
          <w:rFonts w:cs="Calibri"/>
          <w:bCs/>
          <w:caps/>
          <w:szCs w:val="20"/>
        </w:rPr>
      </w:pPr>
    </w:p>
    <w:p w14:paraId="3708F144">
      <w:pPr>
        <w:rPr>
          <w:rFonts w:cs="Calibri"/>
          <w:bCs/>
          <w:caps/>
          <w:szCs w:val="20"/>
        </w:rPr>
      </w:pPr>
    </w:p>
    <w:p w14:paraId="4FB47B2C">
      <w:pPr>
        <w:rPr>
          <w:rFonts w:cs="Calibri"/>
          <w:bCs/>
          <w:caps/>
          <w:szCs w:val="20"/>
        </w:rPr>
      </w:pPr>
    </w:p>
    <w:p w14:paraId="42B7A7EC">
      <w:pPr>
        <w:rPr>
          <w:rFonts w:cs="Calibri"/>
          <w:bCs/>
          <w:caps/>
          <w:szCs w:val="20"/>
        </w:rPr>
      </w:pPr>
    </w:p>
    <w:p w14:paraId="1A691972">
      <w:pPr>
        <w:rPr>
          <w:rFonts w:cs="Calibri"/>
          <w:bCs/>
          <w:caps/>
          <w:szCs w:val="20"/>
        </w:rPr>
      </w:pPr>
    </w:p>
    <w:p w14:paraId="15FB3AB9">
      <w:pPr>
        <w:rPr>
          <w:rFonts w:cs="Calibri"/>
          <w:bCs/>
          <w:caps/>
          <w:szCs w:val="20"/>
        </w:rPr>
      </w:pPr>
    </w:p>
    <w:p w14:paraId="4E18EDD3">
      <w:pPr>
        <w:rPr>
          <w:rFonts w:cs="Calibri"/>
          <w:bCs/>
          <w:caps/>
          <w:szCs w:val="20"/>
        </w:rPr>
      </w:pPr>
    </w:p>
    <w:p w14:paraId="58409431">
      <w:pPr>
        <w:rPr>
          <w:rFonts w:cs="Calibri"/>
          <w:bCs/>
          <w:caps/>
          <w:szCs w:val="20"/>
        </w:rPr>
      </w:pPr>
    </w:p>
    <w:p w14:paraId="0B7D8BAC">
      <w:pPr>
        <w:rPr>
          <w:rFonts w:cs="Calibri"/>
          <w:bCs/>
          <w:caps/>
          <w:szCs w:val="20"/>
        </w:rPr>
      </w:pPr>
    </w:p>
    <w:p w14:paraId="661BB4F9">
      <w:pPr>
        <w:rPr>
          <w:rFonts w:cs="Calibri"/>
          <w:bCs/>
          <w:caps/>
          <w:szCs w:val="20"/>
        </w:rPr>
      </w:pPr>
    </w:p>
    <w:p w14:paraId="298305D9">
      <w:pPr>
        <w:rPr>
          <w:rFonts w:cs="Calibri"/>
          <w:bCs/>
          <w:caps/>
          <w:szCs w:val="20"/>
        </w:rPr>
      </w:pPr>
    </w:p>
    <w:p w14:paraId="04E52D05"/>
    <w:p w14:paraId="7B658136"/>
    <w:p w14:paraId="0087351F"/>
    <w:p w14:paraId="4CF386DC"/>
    <w:p w14:paraId="0E69CDA6"/>
    <w:p w14:paraId="560CD65B">
      <w:pPr>
        <w:pStyle w:val="3"/>
        <w:tabs>
          <w:tab w:val="left" w:pos="425"/>
        </w:tabs>
      </w:pPr>
      <w:bookmarkStart w:id="0" w:name="_Toc346701723"/>
      <w:bookmarkStart w:id="1" w:name="_Toc70608135"/>
      <w:bookmarkStart w:id="2" w:name="_Toc346183627"/>
      <w:r>
        <w:t>系统前期准备</w:t>
      </w:r>
      <w:bookmarkEnd w:id="0"/>
      <w:bookmarkEnd w:id="1"/>
      <w:bookmarkEnd w:id="2"/>
    </w:p>
    <w:p w14:paraId="79207598">
      <w:pPr>
        <w:pStyle w:val="4"/>
      </w:pPr>
      <w:bookmarkStart w:id="3" w:name="_Toc70608136"/>
      <w:bookmarkStart w:id="4" w:name="_Toc346183628"/>
      <w:bookmarkStart w:id="5" w:name="_Toc346701724"/>
      <w:r>
        <w:rPr>
          <w:rFonts w:hint="eastAsia"/>
        </w:rPr>
        <w:t>系统地址及登录</w:t>
      </w:r>
      <w:bookmarkEnd w:id="3"/>
    </w:p>
    <w:p w14:paraId="17CE06E6">
      <w:pPr>
        <w:pStyle w:val="5"/>
      </w:pPr>
      <w:bookmarkStart w:id="6" w:name="_Toc70608137"/>
      <w:r>
        <w:rPr>
          <w:rFonts w:hint="eastAsia"/>
        </w:rPr>
        <w:t>系统地址</w:t>
      </w:r>
      <w:bookmarkEnd w:id="6"/>
    </w:p>
    <w:p w14:paraId="7BA1539F">
      <w:pPr>
        <w:ind w:firstLine="435"/>
      </w:pPr>
      <w:r>
        <w:rPr>
          <w:rFonts w:hint="eastAsia"/>
          <w:lang w:val="en-US" w:eastAsia="zh-CN"/>
        </w:rPr>
        <w:t>登录</w:t>
      </w:r>
      <w:r>
        <w:rPr>
          <w:rFonts w:hint="eastAsia"/>
        </w:rPr>
        <w:t>河南省公共资源交易</w:t>
      </w:r>
      <w:r>
        <w:rPr>
          <w:rFonts w:hint="eastAsia"/>
          <w:lang w:val="en-US" w:eastAsia="zh-CN"/>
        </w:rPr>
        <w:t>中心</w:t>
      </w:r>
      <w:r>
        <w:rPr>
          <w:rFonts w:hint="eastAsia"/>
        </w:rPr>
        <w:t>网站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网址</w:t>
      </w:r>
      <w:r>
        <w:rPr>
          <w:rFonts w:hint="eastAsia"/>
        </w:rPr>
        <w:t>是：</w:t>
      </w:r>
      <w:bookmarkStart w:id="76" w:name="_GoBack"/>
      <w:r>
        <w:fldChar w:fldCharType="begin"/>
      </w:r>
      <w:r>
        <w:instrText xml:space="preserve"> HYPERLINK "http://www.hnggzy.net" </w:instrText>
      </w:r>
      <w:r>
        <w:fldChar w:fldCharType="separate"/>
      </w:r>
      <w:r>
        <w:rPr>
          <w:rStyle w:val="22"/>
          <w:rFonts w:hint="eastAsia"/>
          <w:lang w:eastAsia="zh-CN"/>
        </w:rPr>
        <w:t>http://hnsggzyjy.henan.gov.cn/</w:t>
      </w:r>
      <w:r>
        <w:fldChar w:fldCharType="end"/>
      </w:r>
      <w:bookmarkEnd w:id="76"/>
    </w:p>
    <w:p w14:paraId="24F3EC4F">
      <w:r>
        <w:drawing>
          <wp:inline distT="0" distB="0" distL="0" distR="0">
            <wp:extent cx="5274310" cy="2068830"/>
            <wp:effectExtent l="0" t="0" r="254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DC7B7">
      <w:pPr>
        <w:ind w:firstLine="435"/>
        <w:rPr>
          <w:rFonts w:hint="eastAsia"/>
        </w:rPr>
      </w:pPr>
      <w:r>
        <w:rPr>
          <w:rFonts w:hint="eastAsia"/>
        </w:rPr>
        <w:t>市场主体单位用IE浏览器输入该上述网址后进入下图页面，输入账号密码或使用CA登录：</w:t>
      </w:r>
    </w:p>
    <w:p w14:paraId="2489E3BC">
      <w:pPr>
        <w:ind w:firstLine="435"/>
        <w:rPr>
          <w:rFonts w:hint="eastAsia"/>
        </w:rPr>
      </w:pPr>
      <w:r>
        <w:rPr>
          <w:rFonts w:hint="eastAsia"/>
          <w:lang w:val="en-US" w:eastAsia="zh-CN"/>
        </w:rPr>
        <w:t>市场主体登录地址：</w:t>
      </w:r>
      <w:r>
        <w:rPr>
          <w:rFonts w:hint="eastAsia"/>
          <w:lang w:val="en-US" w:eastAsia="zh-CN"/>
        </w:rPr>
        <w:fldChar w:fldCharType="begin"/>
      </w:r>
      <w:r>
        <w:rPr>
          <w:rFonts w:hint="eastAsia"/>
          <w:lang w:val="en-US" w:eastAsia="zh-CN"/>
        </w:rPr>
        <w:instrText xml:space="preserve"> HYPERLINK "http://www.hnggzy.net/TPBidderZTK/" </w:instrText>
      </w:r>
      <w:r>
        <w:rPr>
          <w:rFonts w:hint="eastAsia"/>
          <w:lang w:val="en-US" w:eastAsia="zh-CN"/>
        </w:rPr>
        <w:fldChar w:fldCharType="separate"/>
      </w:r>
      <w:r>
        <w:rPr>
          <w:rStyle w:val="22"/>
          <w:rFonts w:hint="eastAsia"/>
          <w:lang w:val="en-US" w:eastAsia="zh-CN"/>
        </w:rPr>
        <w:t>http://hnsggzyjy.henan.gov.cn/TPBidderZTK/</w:t>
      </w:r>
      <w:r>
        <w:rPr>
          <w:rFonts w:hint="eastAsia"/>
          <w:lang w:val="en-US" w:eastAsia="zh-CN"/>
        </w:rPr>
        <w:fldChar w:fldCharType="end"/>
      </w:r>
    </w:p>
    <w:p w14:paraId="68F7AA94">
      <w:r>
        <w:drawing>
          <wp:inline distT="0" distB="0" distL="114300" distR="114300">
            <wp:extent cx="5271770" cy="2221230"/>
            <wp:effectExtent l="0" t="0" r="5080" b="762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2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474D6A">
      <w:pPr>
        <w:pStyle w:val="4"/>
        <w:tabs>
          <w:tab w:val="left" w:pos="567"/>
        </w:tabs>
        <w:rPr>
          <w:rFonts w:ascii="思源宋体" w:eastAsia="思源宋体"/>
        </w:rPr>
      </w:pPr>
      <w:bookmarkStart w:id="7" w:name="_Toc475978915"/>
      <w:bookmarkStart w:id="8" w:name="_Toc9296"/>
      <w:bookmarkStart w:id="9" w:name="_Toc346701610"/>
      <w:bookmarkStart w:id="10" w:name="_Toc7698"/>
      <w:bookmarkStart w:id="11" w:name="_Toc14908"/>
      <w:bookmarkStart w:id="12" w:name="_Toc70608138"/>
      <w:r>
        <w:rPr>
          <w:rFonts w:hint="eastAsia" w:ascii="思源宋体" w:eastAsia="思源宋体"/>
        </w:rPr>
        <w:t>驱动安装说明</w:t>
      </w:r>
      <w:bookmarkEnd w:id="7"/>
      <w:bookmarkEnd w:id="8"/>
      <w:bookmarkEnd w:id="9"/>
      <w:bookmarkEnd w:id="10"/>
      <w:bookmarkEnd w:id="11"/>
    </w:p>
    <w:p w14:paraId="1E80D989">
      <w:pPr>
        <w:pStyle w:val="5"/>
        <w:tabs>
          <w:tab w:val="left" w:pos="567"/>
        </w:tabs>
        <w:rPr>
          <w:rFonts w:ascii="思源宋体" w:eastAsia="思源宋体"/>
        </w:rPr>
      </w:pPr>
      <w:bookmarkStart w:id="13" w:name="_Toc346183629"/>
      <w:bookmarkStart w:id="14" w:name="_Toc30779"/>
      <w:bookmarkStart w:id="15" w:name="_Toc346701611"/>
      <w:bookmarkStart w:id="16" w:name="_Toc32340"/>
      <w:bookmarkStart w:id="17" w:name="_Toc475978916"/>
      <w:bookmarkStart w:id="18" w:name="_Toc16026"/>
      <w:bookmarkStart w:id="19" w:name="_Hlk69302591"/>
      <w:r>
        <w:rPr>
          <w:rFonts w:hint="eastAsia" w:ascii="思源宋体" w:eastAsia="思源宋体"/>
        </w:rPr>
        <w:t>安装驱动程序</w:t>
      </w:r>
      <w:bookmarkEnd w:id="13"/>
      <w:bookmarkEnd w:id="14"/>
      <w:bookmarkEnd w:id="15"/>
      <w:bookmarkEnd w:id="16"/>
      <w:bookmarkEnd w:id="17"/>
      <w:bookmarkEnd w:id="18"/>
    </w:p>
    <w:p w14:paraId="02664905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1、双击安装程序</w:t>
      </w:r>
      <w:r>
        <w:rPr>
          <w:rFonts w:hint="eastAsia" w:ascii="思源宋体" w:eastAsia="思源宋体"/>
        </w:rPr>
        <w:drawing>
          <wp:inline distT="0" distB="0" distL="0" distR="0">
            <wp:extent cx="715010" cy="956945"/>
            <wp:effectExtent l="0" t="0" r="8890" b="1460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1731" cy="97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思源宋体" w:hAnsi="宋体" w:eastAsia="思源宋体" w:cs="宋体"/>
        </w:rPr>
        <w:t>，进入安装页面。</w:t>
      </w:r>
    </w:p>
    <w:p w14:paraId="751051FC">
      <w:pPr>
        <w:autoSpaceDE w:val="0"/>
        <w:autoSpaceDN w:val="0"/>
        <w:adjustRightInd w:val="0"/>
        <w:ind w:right="-20"/>
        <w:rPr>
          <w:rFonts w:ascii="思源宋体" w:eastAsia="思源宋体"/>
          <w:spacing w:val="4"/>
        </w:rPr>
      </w:pPr>
      <w:r>
        <w:drawing>
          <wp:inline distT="0" distB="0" distL="114300" distR="114300">
            <wp:extent cx="5278120" cy="3934460"/>
            <wp:effectExtent l="0" t="0" r="17780" b="889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93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7B600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注：在安装驱动之前，请确保所有浏览器均已关闭。</w:t>
      </w:r>
    </w:p>
    <w:p w14:paraId="7D01A4FB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  <w:lang w:val="en-US" w:eastAsia="zh-CN"/>
        </w:rPr>
        <w:t>2</w:t>
      </w:r>
      <w:r>
        <w:rPr>
          <w:rFonts w:hint="eastAsia" w:ascii="思源宋体" w:hAnsi="宋体" w:eastAsia="思源宋体" w:cs="宋体"/>
        </w:rPr>
        <w:t>、选择需要安装的目录，点击“立即安装”按钮，开始安装驱动。</w:t>
      </w:r>
    </w:p>
    <w:p w14:paraId="248B46A4">
      <w:pPr>
        <w:rPr>
          <w:rFonts w:ascii="思源宋体" w:eastAsia="思源宋体"/>
        </w:rPr>
      </w:pPr>
      <w:r>
        <w:rPr>
          <w:rFonts w:hint="eastAsia" w:ascii="思源宋体" w:eastAsia="思源宋体"/>
        </w:rPr>
        <w:drawing>
          <wp:inline distT="0" distB="0" distL="0" distR="0">
            <wp:extent cx="5278120" cy="3962400"/>
            <wp:effectExtent l="0" t="0" r="1778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9ABE5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  <w:lang w:val="en-US" w:eastAsia="zh-CN"/>
        </w:rPr>
        <w:t>3</w:t>
      </w:r>
      <w:r>
        <w:rPr>
          <w:rFonts w:hint="eastAsia" w:ascii="思源宋体" w:hAnsi="宋体" w:eastAsia="思源宋体" w:cs="宋体"/>
        </w:rPr>
        <w:t>、驱动安装完成后，打开完成界面。</w:t>
      </w:r>
    </w:p>
    <w:p w14:paraId="7CCFF88F">
      <w:pPr>
        <w:jc w:val="both"/>
        <w:rPr>
          <w:rFonts w:ascii="思源宋体" w:eastAsia="思源宋体"/>
        </w:rPr>
      </w:pPr>
      <w:r>
        <w:drawing>
          <wp:inline distT="0" distB="0" distL="114300" distR="114300">
            <wp:extent cx="5273040" cy="3874135"/>
            <wp:effectExtent l="0" t="0" r="3810" b="12065"/>
            <wp:docPr id="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87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6A891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  <w:lang w:val="en-US" w:eastAsia="zh-CN"/>
        </w:rPr>
        <w:t>4</w:t>
      </w:r>
      <w:r>
        <w:rPr>
          <w:rFonts w:hint="eastAsia" w:ascii="思源宋体" w:hAnsi="宋体" w:eastAsia="思源宋体" w:cs="宋体"/>
        </w:rPr>
        <w:t>、点击“完成”按钮，驱动安装成功，桌面显示图标</w:t>
      </w:r>
      <w:r>
        <w:rPr>
          <w:rFonts w:hint="eastAsia" w:ascii="思源宋体" w:eastAsia="思源宋体"/>
        </w:rPr>
        <w:drawing>
          <wp:inline distT="0" distB="0" distL="0" distR="0">
            <wp:extent cx="905510" cy="932815"/>
            <wp:effectExtent l="0" t="0" r="8890" b="63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05510" cy="93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思源宋体" w:hAnsi="宋体" w:eastAsia="思源宋体" w:cs="宋体"/>
        </w:rPr>
        <w:t>。</w:t>
      </w:r>
    </w:p>
    <w:p w14:paraId="2F0FC167">
      <w:pPr>
        <w:pStyle w:val="4"/>
        <w:tabs>
          <w:tab w:val="left" w:pos="567"/>
        </w:tabs>
        <w:rPr>
          <w:rFonts w:ascii="思源宋体" w:eastAsia="思源宋体"/>
        </w:rPr>
      </w:pPr>
      <w:bookmarkStart w:id="20" w:name="_Toc15551"/>
      <w:bookmarkStart w:id="21" w:name="_Toc346183633"/>
      <w:bookmarkStart w:id="22" w:name="_Toc475978920"/>
      <w:bookmarkStart w:id="23" w:name="_Toc346701615"/>
      <w:bookmarkStart w:id="24" w:name="_Toc19422"/>
      <w:bookmarkStart w:id="25" w:name="_Toc8049"/>
      <w:r>
        <w:rPr>
          <w:rFonts w:hint="eastAsia" w:ascii="思源宋体" w:eastAsia="思源宋体"/>
        </w:rPr>
        <w:t>检测工具</w:t>
      </w:r>
      <w:bookmarkEnd w:id="20"/>
      <w:bookmarkEnd w:id="21"/>
      <w:bookmarkEnd w:id="22"/>
      <w:bookmarkEnd w:id="23"/>
      <w:bookmarkEnd w:id="24"/>
      <w:bookmarkEnd w:id="25"/>
    </w:p>
    <w:p w14:paraId="3CE18B87">
      <w:pPr>
        <w:pStyle w:val="5"/>
        <w:tabs>
          <w:tab w:val="left" w:pos="567"/>
        </w:tabs>
        <w:ind w:left="1072" w:hanging="1072"/>
        <w:rPr>
          <w:rFonts w:ascii="思源宋体" w:eastAsia="思源宋体"/>
        </w:rPr>
      </w:pPr>
      <w:bookmarkStart w:id="26" w:name="_Toc346183634"/>
      <w:bookmarkStart w:id="27" w:name="_Toc30193"/>
      <w:bookmarkStart w:id="28" w:name="_Toc8386"/>
      <w:bookmarkStart w:id="29" w:name="_Toc475978921"/>
      <w:bookmarkStart w:id="30" w:name="_Toc1236"/>
      <w:bookmarkStart w:id="31" w:name="_Toc346701616"/>
      <w:r>
        <w:rPr>
          <w:rFonts w:hint="eastAsia" w:ascii="思源宋体" w:eastAsia="思源宋体"/>
        </w:rPr>
        <w:t>启动检测工具</w:t>
      </w:r>
      <w:bookmarkEnd w:id="26"/>
      <w:bookmarkEnd w:id="27"/>
      <w:bookmarkEnd w:id="28"/>
      <w:bookmarkEnd w:id="29"/>
      <w:bookmarkEnd w:id="30"/>
      <w:bookmarkEnd w:id="31"/>
    </w:p>
    <w:p w14:paraId="36CB2905">
      <w:pPr>
        <w:ind w:firstLine="420"/>
        <w:rPr>
          <w:rFonts w:ascii="思源宋体" w:eastAsia="思源宋体"/>
        </w:rPr>
      </w:pPr>
      <w:r>
        <w:rPr>
          <w:rFonts w:hint="eastAsia" w:ascii="思源宋体" w:eastAsia="思源宋体"/>
        </w:rPr>
        <w:t>用户可以点击桌面上的新点检测工具图标来启动检测工具。</w:t>
      </w:r>
    </w:p>
    <w:p w14:paraId="04EBB1BC">
      <w:pPr>
        <w:pStyle w:val="5"/>
        <w:tabs>
          <w:tab w:val="left" w:pos="567"/>
        </w:tabs>
        <w:ind w:left="1072" w:hanging="1072"/>
        <w:rPr>
          <w:rFonts w:ascii="思源宋体" w:eastAsia="思源宋体"/>
        </w:rPr>
      </w:pPr>
      <w:bookmarkStart w:id="32" w:name="_Toc346183635"/>
      <w:bookmarkStart w:id="33" w:name="_Toc17294"/>
      <w:bookmarkStart w:id="34" w:name="_Toc17277"/>
      <w:bookmarkStart w:id="35" w:name="_Toc346701617"/>
      <w:bookmarkStart w:id="36" w:name="_Toc32709"/>
      <w:bookmarkStart w:id="37" w:name="_Toc475978922"/>
      <w:r>
        <w:rPr>
          <w:rFonts w:hint="eastAsia" w:ascii="思源宋体" w:eastAsia="思源宋体"/>
        </w:rPr>
        <w:t>系统检测</w:t>
      </w:r>
      <w:bookmarkEnd w:id="32"/>
      <w:bookmarkEnd w:id="33"/>
      <w:bookmarkEnd w:id="34"/>
      <w:bookmarkEnd w:id="35"/>
      <w:bookmarkEnd w:id="36"/>
      <w:bookmarkEnd w:id="37"/>
    </w:p>
    <w:p w14:paraId="788268CC">
      <w:pPr>
        <w:pStyle w:val="31"/>
        <w:ind w:firstLine="0" w:firstLineChars="0"/>
        <w:jc w:val="center"/>
        <w:rPr>
          <w:rFonts w:ascii="思源宋体" w:eastAsia="思源宋体"/>
          <w:b/>
          <w:spacing w:val="4"/>
        </w:rPr>
      </w:pPr>
      <w:r>
        <w:rPr>
          <w:rFonts w:hint="eastAsia" w:ascii="思源宋体" w:eastAsia="思源宋体"/>
        </w:rPr>
        <w:drawing>
          <wp:inline distT="0" distB="0" distL="0" distR="0">
            <wp:extent cx="5278120" cy="3331210"/>
            <wp:effectExtent l="0" t="0" r="17780" b="254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33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32706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该页面主要是进行可信任站点的设置。</w:t>
      </w:r>
    </w:p>
    <w:p w14:paraId="2059ED87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如果没有设置成功，请点击设置按钮即可。</w:t>
      </w:r>
    </w:p>
    <w:p w14:paraId="39A8A30E">
      <w:pPr>
        <w:pStyle w:val="5"/>
        <w:tabs>
          <w:tab w:val="left" w:pos="567"/>
        </w:tabs>
        <w:ind w:left="1072" w:hanging="1072"/>
        <w:rPr>
          <w:rFonts w:ascii="思源宋体" w:eastAsia="思源宋体"/>
        </w:rPr>
      </w:pPr>
      <w:bookmarkStart w:id="38" w:name="_Toc475978923"/>
      <w:bookmarkStart w:id="39" w:name="_Toc22012"/>
      <w:bookmarkStart w:id="40" w:name="_Toc226"/>
      <w:bookmarkStart w:id="41" w:name="_Toc346701618"/>
      <w:bookmarkStart w:id="42" w:name="_Toc15829"/>
      <w:bookmarkStart w:id="43" w:name="_Toc346183636"/>
      <w:r>
        <w:rPr>
          <w:rFonts w:hint="eastAsia" w:ascii="思源宋体" w:eastAsia="思源宋体"/>
        </w:rPr>
        <w:t>控件检测</w:t>
      </w:r>
      <w:bookmarkEnd w:id="38"/>
      <w:bookmarkEnd w:id="39"/>
      <w:bookmarkEnd w:id="40"/>
      <w:bookmarkEnd w:id="41"/>
      <w:bookmarkEnd w:id="42"/>
      <w:bookmarkEnd w:id="43"/>
    </w:p>
    <w:p w14:paraId="79666822">
      <w:pPr>
        <w:ind w:firstLine="0" w:firstLineChars="0"/>
        <w:jc w:val="both"/>
        <w:rPr>
          <w:rFonts w:ascii="思源宋体" w:eastAsia="思源宋体"/>
        </w:rPr>
      </w:pPr>
      <w:r>
        <w:rPr>
          <w:rFonts w:hint="eastAsia" w:ascii="思源宋体" w:eastAsia="思源宋体"/>
        </w:rPr>
        <w:drawing>
          <wp:inline distT="0" distB="0" distL="0" distR="0">
            <wp:extent cx="5276850" cy="3314700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2A2BE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如果以上都是打勾，系统所需要控件都安装完毕了。</w:t>
      </w:r>
    </w:p>
    <w:p w14:paraId="56AF14C2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其中证书Key驱动，需要把您的证书Key插好以后才可以检测出来。</w:t>
      </w:r>
    </w:p>
    <w:p w14:paraId="0EB1A3C2">
      <w:pPr>
        <w:pStyle w:val="5"/>
        <w:tabs>
          <w:tab w:val="left" w:pos="567"/>
        </w:tabs>
        <w:ind w:left="1072" w:hanging="1072"/>
        <w:rPr>
          <w:rFonts w:ascii="思源宋体" w:eastAsia="思源宋体"/>
        </w:rPr>
      </w:pPr>
      <w:bookmarkStart w:id="44" w:name="_Toc18929"/>
      <w:bookmarkStart w:id="45" w:name="_Toc15791"/>
      <w:bookmarkStart w:id="46" w:name="_Toc346183637"/>
      <w:bookmarkStart w:id="47" w:name="_Toc475978924"/>
      <w:bookmarkStart w:id="48" w:name="_Toc20940"/>
      <w:bookmarkStart w:id="49" w:name="_Toc346701619"/>
      <w:r>
        <w:rPr>
          <w:rFonts w:hint="eastAsia" w:ascii="思源宋体" w:eastAsia="思源宋体"/>
        </w:rPr>
        <w:t>证书检测</w:t>
      </w:r>
      <w:bookmarkEnd w:id="44"/>
      <w:bookmarkEnd w:id="45"/>
      <w:bookmarkEnd w:id="46"/>
      <w:bookmarkEnd w:id="47"/>
      <w:bookmarkEnd w:id="48"/>
      <w:bookmarkEnd w:id="49"/>
    </w:p>
    <w:p w14:paraId="3014EBAE">
      <w:pPr>
        <w:pStyle w:val="31"/>
        <w:ind w:firstLine="0" w:firstLineChars="0"/>
        <w:jc w:val="center"/>
        <w:rPr>
          <w:rFonts w:ascii="思源宋体" w:eastAsia="思源宋体"/>
          <w:b/>
          <w:spacing w:val="4"/>
          <w:sz w:val="21"/>
        </w:rPr>
      </w:pPr>
      <w:r>
        <w:rPr>
          <w:rFonts w:hint="eastAsia" w:ascii="思源宋体" w:eastAsia="思源宋体"/>
        </w:rPr>
        <w:drawing>
          <wp:inline distT="0" distB="0" distL="0" distR="0">
            <wp:extent cx="5276850" cy="331470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2FA91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用户可以点击“立即检测”按钮，选择证书，点击“确定”按钮，输入口令，可以检测该证书Key是否可以正常使用。</w:t>
      </w:r>
    </w:p>
    <w:p w14:paraId="72C1512D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 xml:space="preserve">如果“证书检测结果”中显示证书状态正常，则表示您的证书Key是可以正常使用的。 </w:t>
      </w:r>
    </w:p>
    <w:p w14:paraId="26B73B19">
      <w:pPr>
        <w:pStyle w:val="5"/>
        <w:tabs>
          <w:tab w:val="left" w:pos="567"/>
        </w:tabs>
        <w:ind w:left="1072" w:hanging="1072"/>
        <w:rPr>
          <w:rFonts w:ascii="思源宋体" w:eastAsia="思源宋体"/>
        </w:rPr>
      </w:pPr>
      <w:bookmarkStart w:id="50" w:name="_Toc31731"/>
      <w:bookmarkStart w:id="51" w:name="_Toc475978925"/>
      <w:bookmarkStart w:id="52" w:name="_Toc346183638"/>
      <w:bookmarkStart w:id="53" w:name="_Toc346701620"/>
      <w:bookmarkStart w:id="54" w:name="_Toc5736"/>
      <w:r>
        <w:rPr>
          <w:rFonts w:hint="eastAsia" w:ascii="思源宋体" w:eastAsia="思源宋体"/>
        </w:rPr>
        <w:t>签章检测</w:t>
      </w:r>
      <w:bookmarkEnd w:id="50"/>
      <w:bookmarkEnd w:id="51"/>
      <w:bookmarkEnd w:id="52"/>
      <w:bookmarkEnd w:id="53"/>
      <w:bookmarkEnd w:id="54"/>
    </w:p>
    <w:p w14:paraId="599A3B6A">
      <w:pPr>
        <w:ind w:firstLine="420"/>
        <w:jc w:val="center"/>
        <w:rPr>
          <w:rFonts w:ascii="思源宋体" w:eastAsia="思源宋体"/>
        </w:rPr>
      </w:pPr>
      <w:r>
        <w:rPr>
          <w:rFonts w:hint="eastAsia" w:ascii="思源宋体" w:eastAsia="思源宋体"/>
        </w:rPr>
        <w:drawing>
          <wp:inline distT="0" distB="0" distL="114300" distR="114300">
            <wp:extent cx="5271770" cy="3308985"/>
            <wp:effectExtent l="0" t="0" r="5080" b="5715"/>
            <wp:docPr id="110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1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0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AD39C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此页面是用于测试证书Key是否可以正常签章，请点击</w:t>
      </w:r>
      <w:r>
        <w:rPr>
          <w:rFonts w:hint="eastAsia" w:ascii="思源宋体" w:hAnsi="宋体" w:eastAsia="思源宋体" w:cs="宋体"/>
        </w:rPr>
        <w:drawing>
          <wp:inline distT="0" distB="0" distL="114300" distR="114300">
            <wp:extent cx="295275" cy="238125"/>
            <wp:effectExtent l="0" t="0" r="9525" b="9525"/>
            <wp:docPr id="31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思源宋体" w:hAnsi="宋体" w:eastAsia="思源宋体" w:cs="宋体"/>
        </w:rPr>
        <w:t>，在出现的窗口中，选择签章的名称和签章的模式，并输入您的证书Key的密码，点击确定按钮。</w:t>
      </w:r>
    </w:p>
    <w:p w14:paraId="041EC15A">
      <w:pPr>
        <w:pStyle w:val="31"/>
        <w:ind w:firstLine="135" w:firstLineChars="62"/>
        <w:jc w:val="center"/>
        <w:rPr>
          <w:rFonts w:ascii="思源宋体" w:eastAsia="思源宋体"/>
          <w:spacing w:val="4"/>
          <w:sz w:val="21"/>
        </w:rPr>
      </w:pPr>
    </w:p>
    <w:p w14:paraId="6A7F68E9">
      <w:pPr>
        <w:ind w:firstLine="420"/>
        <w:rPr>
          <w:rFonts w:ascii="思源宋体" w:hAnsi="宋体" w:eastAsia="思源宋体" w:cs="宋体"/>
        </w:rPr>
      </w:pPr>
      <w:r>
        <w:rPr>
          <w:rFonts w:hint="eastAsia" w:ascii="思源宋体" w:hAnsi="宋体" w:eastAsia="思源宋体" w:cs="宋体"/>
        </w:rPr>
        <w:t>如果能成功加盖印章，并且有勾显示，则证明您的证书Key没有问题。</w:t>
      </w:r>
    </w:p>
    <w:p w14:paraId="0EE901AD">
      <w:pPr>
        <w:pStyle w:val="31"/>
        <w:ind w:firstLine="153" w:firstLineChars="62"/>
        <w:jc w:val="center"/>
        <w:rPr>
          <w:rFonts w:ascii="思源宋体" w:eastAsia="思源宋体"/>
          <w:spacing w:val="4"/>
          <w:sz w:val="21"/>
        </w:rPr>
      </w:pPr>
      <w:r>
        <w:rPr>
          <w:rFonts w:hint="eastAsia" w:ascii="思源宋体" w:eastAsia="思源宋体"/>
          <w:spacing w:val="4"/>
        </w:rPr>
        <w:drawing>
          <wp:inline distT="0" distB="0" distL="114300" distR="114300">
            <wp:extent cx="2819400" cy="1143000"/>
            <wp:effectExtent l="0" t="0" r="0" b="0"/>
            <wp:docPr id="3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4"/>
                    <pic:cNvPicPr>
                      <a:picLocks noChangeAspect="1"/>
                    </pic:cNvPicPr>
                  </pic:nvPicPr>
                  <pic:blipFill>
                    <a:blip r:embed="rId19"/>
                    <a:srcRect l="6702" r="13940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30A41">
      <w:pPr>
        <w:ind w:firstLine="420"/>
        <w:rPr>
          <w:rFonts w:ascii="思源宋体" w:eastAsia="思源宋体"/>
        </w:rPr>
      </w:pPr>
      <w:r>
        <w:rPr>
          <w:rFonts w:hint="eastAsia" w:ascii="思源宋体" w:hAnsi="宋体" w:eastAsia="思源宋体" w:cs="宋体"/>
        </w:rPr>
        <w:t>如果出现其他的提示，请及时和该项目CA联系。</w:t>
      </w:r>
    </w:p>
    <w:bookmarkEnd w:id="19"/>
    <w:p w14:paraId="3A521E2A">
      <w:pPr>
        <w:pStyle w:val="4"/>
        <w:tabs>
          <w:tab w:val="left" w:pos="567"/>
        </w:tabs>
        <w:rPr>
          <w:rFonts w:ascii="思源宋体" w:eastAsia="思源宋体"/>
        </w:rPr>
      </w:pPr>
      <w:bookmarkStart w:id="55" w:name="_Toc995"/>
      <w:bookmarkStart w:id="56" w:name="_Toc346701621"/>
      <w:bookmarkStart w:id="57" w:name="_Toc346183639"/>
      <w:bookmarkStart w:id="58" w:name="_Toc475978926"/>
      <w:bookmarkStart w:id="59" w:name="_Toc7244"/>
      <w:r>
        <w:rPr>
          <w:rFonts w:hint="eastAsia" w:ascii="思源宋体" w:eastAsia="思源宋体"/>
        </w:rPr>
        <w:t>浏览器配置</w:t>
      </w:r>
      <w:bookmarkEnd w:id="55"/>
      <w:bookmarkEnd w:id="56"/>
      <w:bookmarkEnd w:id="57"/>
      <w:bookmarkEnd w:id="58"/>
      <w:bookmarkEnd w:id="59"/>
    </w:p>
    <w:p w14:paraId="62661FCF">
      <w:pPr>
        <w:pStyle w:val="5"/>
        <w:tabs>
          <w:tab w:val="left" w:pos="567"/>
        </w:tabs>
      </w:pPr>
      <w:bookmarkStart w:id="60" w:name="_Toc28494"/>
      <w:bookmarkStart w:id="61" w:name="_Toc70266794"/>
      <w:r>
        <w:rPr>
          <w:rFonts w:hint="eastAsia" w:eastAsiaTheme="minorEastAsia"/>
          <w:color w:val="000000" w:themeColor="text1"/>
          <w:szCs w:val="28"/>
        </w:rPr>
        <w:t>Internet选项</w:t>
      </w:r>
      <w:bookmarkEnd w:id="60"/>
      <w:bookmarkEnd w:id="61"/>
    </w:p>
    <w:p w14:paraId="18E301E0">
      <w:r>
        <w:rPr>
          <w:rFonts w:hint="eastAsia"/>
        </w:rPr>
        <w:t>1、使用IE浏览器登录河南省公共资源智慧交易系统</w:t>
      </w:r>
      <w:r>
        <w:rPr>
          <w:rFonts w:ascii="宋体" w:hAnsi="宋体"/>
          <w:spacing w:val="4"/>
        </w:rPr>
        <w:t>，</w:t>
      </w:r>
      <w:r>
        <w:rPr>
          <w:rFonts w:hint="eastAsia" w:ascii="宋体" w:hAnsi="宋体"/>
          <w:spacing w:val="4"/>
        </w:rPr>
        <w:t>打开浏览器右上角</w:t>
      </w:r>
      <w:r>
        <w:rPr>
          <w:rFonts w:ascii="宋体" w:hAnsi="宋体"/>
        </w:rPr>
        <w:t>“工</w:t>
      </w:r>
      <w:r>
        <w:rPr>
          <w:rFonts w:ascii="宋体" w:hAnsi="宋体"/>
          <w:spacing w:val="4"/>
        </w:rPr>
        <w:t>具”菜单→“Internet选项”</w:t>
      </w:r>
    </w:p>
    <w:p w14:paraId="2AC17F01">
      <w:pPr>
        <w:jc w:val="center"/>
        <w:rPr>
          <w:spacing w:val="4"/>
        </w:rPr>
      </w:pPr>
      <w:r>
        <w:drawing>
          <wp:inline distT="0" distB="0" distL="0" distR="0">
            <wp:extent cx="4941570" cy="2676525"/>
            <wp:effectExtent l="0" t="0" r="11430" b="952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50628" cy="2681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7B8210">
      <w:pPr>
        <w:ind w:firstLine="436"/>
        <w:rPr>
          <w:spacing w:val="4"/>
        </w:rPr>
      </w:pPr>
      <w:r>
        <w:rPr>
          <w:spacing w:val="4"/>
        </w:rPr>
        <w:t>2、弹出对话框之后，请选择“安全”选项卡，具体的界面如下图：</w:t>
      </w:r>
    </w:p>
    <w:p w14:paraId="4E21B06A">
      <w:pPr>
        <w:jc w:val="center"/>
        <w:rPr>
          <w:spacing w:val="4"/>
        </w:rPr>
      </w:pPr>
      <w:r>
        <w:drawing>
          <wp:inline distT="0" distB="0" distL="0" distR="0">
            <wp:extent cx="2424430" cy="3452495"/>
            <wp:effectExtent l="0" t="0" r="13970" b="1460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33567" cy="3464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78472">
      <w:pPr>
        <w:ind w:firstLine="436"/>
        <w:rPr>
          <w:spacing w:val="4"/>
        </w:rPr>
      </w:pPr>
      <w:r>
        <w:rPr>
          <w:spacing w:val="4"/>
        </w:rPr>
        <w:t>3、</w:t>
      </w:r>
      <w:r>
        <w:rPr>
          <w:rFonts w:ascii="宋体" w:hAnsi="宋体"/>
          <w:spacing w:val="4"/>
        </w:rPr>
        <w:t>点击绿色的“受信任的站点”的图片，会看到如下图所示的界面：</w:t>
      </w:r>
    </w:p>
    <w:p w14:paraId="41E5A99A">
      <w:pPr>
        <w:jc w:val="center"/>
        <w:rPr>
          <w:spacing w:val="4"/>
        </w:rPr>
      </w:pPr>
      <w:r>
        <w:t xml:space="preserve"> </w:t>
      </w:r>
      <w:r>
        <w:drawing>
          <wp:inline distT="0" distB="0" distL="0" distR="0">
            <wp:extent cx="2435225" cy="3481705"/>
            <wp:effectExtent l="0" t="0" r="3175" b="444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444149" cy="349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1B26B">
      <w:pPr>
        <w:ind w:firstLine="436"/>
        <w:rPr>
          <w:spacing w:val="4"/>
        </w:rPr>
      </w:pPr>
      <w:r>
        <w:rPr>
          <w:spacing w:val="4"/>
        </w:rPr>
        <w:t>4、点</w:t>
      </w:r>
      <w:r>
        <w:rPr>
          <w:rFonts w:ascii="宋体" w:hAnsi="宋体"/>
          <w:spacing w:val="4"/>
        </w:rPr>
        <w:t xml:space="preserve">击“站点” </w:t>
      </w:r>
      <w:r>
        <w:rPr>
          <w:spacing w:val="4"/>
        </w:rPr>
        <w:t>按钮，出现如下对话框：</w:t>
      </w:r>
    </w:p>
    <w:p w14:paraId="05B66DD0">
      <w:pPr>
        <w:jc w:val="center"/>
        <w:rPr>
          <w:spacing w:val="4"/>
        </w:rPr>
      </w:pPr>
      <w:r>
        <w:drawing>
          <wp:inline distT="0" distB="0" distL="0" distR="0">
            <wp:extent cx="4606925" cy="3281045"/>
            <wp:effectExtent l="0" t="0" r="3175" b="1460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16447" cy="3287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33B7F7">
      <w:pPr>
        <w:ind w:firstLine="436"/>
        <w:rPr>
          <w:spacing w:val="4"/>
        </w:rPr>
      </w:pPr>
      <w:r>
        <w:rPr>
          <w:spacing w:val="4"/>
        </w:rPr>
        <w:t>输入系统地址，格式例如：http://www.hnggzy.net，然后点击“添加”按钮完成添加，再按“关闭”按钮退出。</w:t>
      </w:r>
    </w:p>
    <w:p w14:paraId="4F92E54B">
      <w:pPr>
        <w:ind w:firstLine="436"/>
        <w:rPr>
          <w:spacing w:val="4"/>
        </w:rPr>
      </w:pPr>
      <w:r>
        <w:rPr>
          <w:spacing w:val="4"/>
        </w:rPr>
        <w:t>5、设置自定义安全级别，开放Activex的访问权限：</w:t>
      </w:r>
    </w:p>
    <w:p w14:paraId="0FBB7811">
      <w:pPr>
        <w:jc w:val="center"/>
        <w:rPr>
          <w:spacing w:val="4"/>
        </w:rPr>
      </w:pPr>
      <w:r>
        <w:drawing>
          <wp:inline distT="0" distB="0" distL="0" distR="0">
            <wp:extent cx="2813685" cy="4044950"/>
            <wp:effectExtent l="0" t="0" r="5715" b="1270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29139" cy="4067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5F06E">
      <w:pPr>
        <w:ind w:firstLine="436"/>
        <w:rPr>
          <w:spacing w:val="4"/>
        </w:rPr>
      </w:pPr>
      <w:r>
        <w:rPr>
          <w:spacing w:val="4"/>
        </w:rPr>
        <w:t>①会出现一个窗口，把其中的Activex控件和插件的设置全部改为启用。</w:t>
      </w:r>
    </w:p>
    <w:p w14:paraId="3FCA1C2C">
      <w:pPr>
        <w:jc w:val="center"/>
        <w:rPr>
          <w:spacing w:val="4"/>
        </w:rPr>
      </w:pPr>
      <w:r>
        <w:drawing>
          <wp:inline distT="0" distB="0" distL="0" distR="0">
            <wp:extent cx="2946400" cy="3803650"/>
            <wp:effectExtent l="0" t="0" r="6350" b="635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971169" cy="3835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AA045">
      <w:pPr>
        <w:ind w:firstLine="436"/>
        <w:rPr>
          <w:spacing w:val="4"/>
        </w:rPr>
      </w:pPr>
      <w:r>
        <w:rPr>
          <w:spacing w:val="4"/>
        </w:rPr>
        <w:t>②文件下载设置，开放文件下载的权限：设置为启用。</w:t>
      </w:r>
    </w:p>
    <w:p w14:paraId="07603813">
      <w:pPr>
        <w:jc w:val="center"/>
        <w:rPr>
          <w:szCs w:val="21"/>
        </w:rPr>
      </w:pPr>
      <w:r>
        <w:drawing>
          <wp:inline distT="0" distB="0" distL="0" distR="0">
            <wp:extent cx="3262630" cy="4088765"/>
            <wp:effectExtent l="0" t="0" r="13970" b="698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281273" cy="4112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A0B4CF">
      <w:pPr>
        <w:pStyle w:val="5"/>
        <w:tabs>
          <w:tab w:val="left" w:pos="567"/>
        </w:tabs>
        <w:ind w:left="1072" w:hanging="1072"/>
      </w:pPr>
      <w:bookmarkStart w:id="62" w:name="_Toc70259108"/>
      <w:bookmarkStart w:id="63" w:name="_Toc267"/>
      <w:bookmarkStart w:id="64" w:name="_Toc70266795"/>
      <w:r>
        <w:t>关闭拦截工具</w:t>
      </w:r>
      <w:bookmarkEnd w:id="62"/>
      <w:bookmarkEnd w:id="63"/>
      <w:bookmarkEnd w:id="64"/>
    </w:p>
    <w:p w14:paraId="72157F07">
      <w:pPr>
        <w:ind w:firstLine="436"/>
      </w:pPr>
      <w:r>
        <w:rPr>
          <w:spacing w:val="4"/>
        </w:rPr>
        <w:t>上述操作完成后，如果系统中某些功能仍不能使用，请将拦截工具关闭再试用。比如在windows工具栏中关闭弹出窗口阻止程序的操作：</w:t>
      </w:r>
      <w:r>
        <w:t xml:space="preserve"> </w:t>
      </w:r>
    </w:p>
    <w:p w14:paraId="63654EBC">
      <w:pPr>
        <w:jc w:val="center"/>
        <w:rPr>
          <w:spacing w:val="4"/>
        </w:rPr>
      </w:pPr>
      <w:r>
        <w:drawing>
          <wp:inline distT="0" distB="0" distL="0" distR="0">
            <wp:extent cx="4250055" cy="2700020"/>
            <wp:effectExtent l="0" t="0" r="17145" b="508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260051" cy="2706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05612">
      <w:pPr>
        <w:widowControl/>
        <w:jc w:val="center"/>
      </w:pPr>
      <w:r>
        <w:drawing>
          <wp:inline distT="0" distB="0" distL="0" distR="0">
            <wp:extent cx="4100195" cy="2216150"/>
            <wp:effectExtent l="0" t="0" r="14605" b="12700"/>
            <wp:docPr id="95" name="图片 95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5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05903" cy="2219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11930">
      <w:pPr>
        <w:pStyle w:val="31"/>
        <w:ind w:firstLine="0" w:firstLineChars="0"/>
        <w:jc w:val="center"/>
      </w:pPr>
      <w:r>
        <w:t xml:space="preserve">  </w:t>
      </w:r>
      <w:r>
        <w:rPr>
          <w:rFonts w:hint="eastAsia"/>
        </w:rPr>
        <w:t xml:space="preserve"> </w:t>
      </w:r>
      <w:r>
        <w:drawing>
          <wp:inline distT="0" distB="0" distL="0" distR="0">
            <wp:extent cx="4125595" cy="2933700"/>
            <wp:effectExtent l="0" t="0" r="8255" b="0"/>
            <wp:docPr id="35" name="图片 35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3849" cy="2946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8248D">
      <w:pPr>
        <w:pStyle w:val="5"/>
        <w:tabs>
          <w:tab w:val="left" w:pos="567"/>
        </w:tabs>
      </w:pPr>
      <w:bookmarkStart w:id="65" w:name="_Toc30412"/>
      <w:bookmarkStart w:id="66" w:name="_Toc70259110"/>
      <w:r>
        <w:rPr>
          <w:rFonts w:hint="eastAsia"/>
        </w:rPr>
        <w:t>设置兼容性</w:t>
      </w:r>
      <w:bookmarkEnd w:id="65"/>
      <w:bookmarkEnd w:id="66"/>
    </w:p>
    <w:p w14:paraId="58416F99">
      <w:pPr>
        <w:pStyle w:val="31"/>
        <w:ind w:firstLine="360"/>
      </w:pPr>
      <w:r>
        <w:rPr>
          <w:rFonts w:hint="eastAsia"/>
        </w:rPr>
        <w:t>点击IE菜单栏里边的工具-兼容性视图设置，如下图：</w:t>
      </w:r>
    </w:p>
    <w:p w14:paraId="37034DE6">
      <w:pPr>
        <w:widowControl/>
        <w:jc w:val="center"/>
      </w:pPr>
      <w:r>
        <w:drawing>
          <wp:inline distT="0" distB="0" distL="0" distR="0">
            <wp:extent cx="3525520" cy="2135505"/>
            <wp:effectExtent l="0" t="0" r="17780" b="17145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530802" cy="213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55174">
      <w:pPr>
        <w:pStyle w:val="31"/>
        <w:ind w:firstLine="360"/>
      </w:pPr>
      <w:r>
        <w:rPr>
          <w:rFonts w:hint="eastAsia"/>
        </w:rPr>
        <w:t>进入如下页面：</w:t>
      </w:r>
    </w:p>
    <w:p w14:paraId="4BD8F3CE">
      <w:pPr>
        <w:pStyle w:val="31"/>
        <w:ind w:firstLine="360"/>
        <w:jc w:val="center"/>
      </w:pPr>
      <w:r>
        <w:drawing>
          <wp:inline distT="0" distB="0" distL="0" distR="0">
            <wp:extent cx="3075305" cy="4081780"/>
            <wp:effectExtent l="0" t="0" r="10795" b="1397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92525" cy="4104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B1163B">
      <w:pPr>
        <w:pStyle w:val="31"/>
        <w:ind w:firstLine="360"/>
        <w:rPr>
          <w:spacing w:val="4"/>
        </w:rPr>
      </w:pPr>
      <w:r>
        <w:rPr>
          <w:rFonts w:hint="eastAsia"/>
        </w:rPr>
        <w:t>将服务器地址</w:t>
      </w:r>
      <w:r>
        <w:rPr>
          <w:spacing w:val="4"/>
        </w:rPr>
        <w:t>hnggzy.net</w:t>
      </w:r>
      <w:r>
        <w:rPr>
          <w:rFonts w:hint="eastAsia"/>
        </w:rPr>
        <w:t>添加进去即可。</w:t>
      </w:r>
      <w:bookmarkEnd w:id="12"/>
    </w:p>
    <w:bookmarkEnd w:id="4"/>
    <w:bookmarkEnd w:id="5"/>
    <w:p w14:paraId="0B953759">
      <w:pPr>
        <w:pStyle w:val="3"/>
        <w:tabs>
          <w:tab w:val="left" w:pos="142"/>
        </w:tabs>
        <w:ind w:left="432" w:firstLine="0"/>
        <w:jc w:val="left"/>
      </w:pPr>
      <w:bookmarkStart w:id="67" w:name="_Toc70608144"/>
      <w:bookmarkStart w:id="68" w:name="_Toc387391656"/>
      <w:r>
        <w:rPr>
          <w:rFonts w:hint="eastAsia"/>
        </w:rPr>
        <w:t>招标人管理</w:t>
      </w:r>
      <w:bookmarkEnd w:id="67"/>
      <w:bookmarkEnd w:id="68"/>
    </w:p>
    <w:p w14:paraId="51ACE84D">
      <w:pPr>
        <w:pStyle w:val="4"/>
        <w:tabs>
          <w:tab w:val="left" w:pos="567"/>
        </w:tabs>
        <w:ind w:left="284" w:firstLine="0"/>
        <w:jc w:val="left"/>
      </w:pPr>
      <w:bookmarkStart w:id="69" w:name="_Toc70608145"/>
      <w:bookmarkStart w:id="70" w:name="_Toc387391657"/>
      <w:r>
        <w:rPr>
          <w:rFonts w:hint="eastAsia"/>
        </w:rPr>
        <w:t>招标人注册</w:t>
      </w:r>
      <w:bookmarkEnd w:id="69"/>
      <w:bookmarkEnd w:id="70"/>
    </w:p>
    <w:p w14:paraId="24F9AA28">
      <w:pPr>
        <w:ind w:firstLine="422"/>
        <w:rPr>
          <w:rFonts w:ascii="宋体" w:hAnsi="宋体"/>
        </w:rPr>
      </w:pPr>
      <w:r>
        <w:rPr>
          <w:rFonts w:hint="eastAsia" w:ascii="宋体" w:hAnsi="宋体"/>
          <w:b/>
          <w:bCs/>
        </w:rPr>
        <w:t>功能说明：</w:t>
      </w:r>
      <w:r>
        <w:rPr>
          <w:rFonts w:hint="eastAsia" w:ascii="宋体" w:hAnsi="宋体"/>
        </w:rPr>
        <w:t>招标人</w:t>
      </w:r>
      <w:r>
        <w:rPr>
          <w:rFonts w:hint="eastAsia" w:ascii="宋体" w:hAnsi="宋体"/>
          <w:lang w:val="en-US" w:eastAsia="zh-CN"/>
        </w:rPr>
        <w:t>自行网上注册，完善单位基本信息后方可开展业务</w:t>
      </w:r>
      <w:r>
        <w:rPr>
          <w:rFonts w:hint="eastAsia" w:ascii="宋体" w:hAnsi="宋体"/>
        </w:rPr>
        <w:t>。</w:t>
      </w:r>
    </w:p>
    <w:p w14:paraId="273E3484">
      <w:pPr>
        <w:ind w:firstLine="422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操作步骤：</w:t>
      </w:r>
    </w:p>
    <w:p w14:paraId="3E3BED5B">
      <w:pPr>
        <w:rPr>
          <w:rFonts w:ascii="宋体" w:hAnsi="宋体"/>
        </w:rPr>
      </w:pPr>
      <w:r>
        <w:t>1、</w:t>
      </w:r>
      <w:r>
        <w:rPr>
          <w:rFonts w:hint="eastAsia" w:ascii="宋体" w:hAnsi="宋体"/>
        </w:rPr>
        <w:t>招标人登录交易平台，点击【免费注册】，如下图：</w:t>
      </w:r>
    </w:p>
    <w:p w14:paraId="5406DAE4">
      <w:pPr>
        <w:widowControl/>
        <w:jc w:val="center"/>
        <w:rPr>
          <w:rFonts w:ascii="宋体" w:hAnsi="宋体"/>
        </w:rPr>
      </w:pPr>
      <w:r>
        <w:drawing>
          <wp:inline distT="0" distB="0" distL="0" distR="0">
            <wp:extent cx="5274310" cy="2439035"/>
            <wp:effectExtent l="0" t="0" r="0" b="0"/>
            <wp:docPr id="473" name="图片 473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图片 473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9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264AA">
      <w:pPr>
        <w:rPr>
          <w:rFonts w:ascii="宋体" w:hAnsi="宋体"/>
        </w:rPr>
      </w:pPr>
      <w:r>
        <w:t>2、</w:t>
      </w:r>
      <w:r>
        <w:rPr>
          <w:rFonts w:hint="eastAsia" w:ascii="宋体" w:hAnsi="宋体"/>
        </w:rPr>
        <w:t>点击【我已阅读并同意该协议】按钮，确认注册协议，如下图：</w:t>
      </w:r>
    </w:p>
    <w:p w14:paraId="19A4CC57">
      <w:pPr>
        <w:widowControl/>
        <w:jc w:val="left"/>
        <w:rPr>
          <w:rFonts w:ascii="宋体" w:hAnsi="宋体"/>
        </w:rPr>
      </w:pPr>
      <w:r>
        <w:drawing>
          <wp:inline distT="0" distB="0" distL="114300" distR="114300">
            <wp:extent cx="5269865" cy="3666490"/>
            <wp:effectExtent l="0" t="0" r="6985" b="10160"/>
            <wp:docPr id="3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66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68228">
      <w:pPr>
        <w:rPr>
          <w:rFonts w:ascii="宋体" w:hAnsi="宋体"/>
        </w:rPr>
      </w:pPr>
      <w:r>
        <w:t>3、</w:t>
      </w:r>
      <w:r>
        <w:rPr>
          <w:rFonts w:hint="eastAsia" w:ascii="宋体" w:hAnsi="宋体"/>
        </w:rPr>
        <w:t>填写市场主体信息，点击【立即注册】，注册完成。</w:t>
      </w:r>
    </w:p>
    <w:p w14:paraId="58C3C752">
      <w:pPr>
        <w:widowControl/>
        <w:jc w:val="left"/>
        <w:rPr>
          <w:rFonts w:ascii="宋体" w:hAnsi="宋体"/>
        </w:rPr>
      </w:pPr>
      <w:r>
        <w:drawing>
          <wp:inline distT="0" distB="0" distL="0" distR="0">
            <wp:extent cx="5274310" cy="2472055"/>
            <wp:effectExtent l="0" t="0" r="0" b="0"/>
            <wp:docPr id="476" name="图片 476" descr="图形用户界面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图片 476" descr="图形用户界面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2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787A1E">
      <w:pPr>
        <w:widowControl/>
        <w:jc w:val="left"/>
        <w:rPr>
          <w:rFonts w:ascii="宋体" w:hAnsi="宋体"/>
        </w:rPr>
      </w:pPr>
      <w:r>
        <w:drawing>
          <wp:inline distT="0" distB="0" distL="0" distR="0">
            <wp:extent cx="5274310" cy="2757805"/>
            <wp:effectExtent l="0" t="0" r="0" b="0"/>
            <wp:docPr id="477" name="图片 477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图片 477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09374">
      <w:pPr>
        <w:rPr>
          <w:rFonts w:hint="default" w:ascii="宋体" w:hAnsi="宋体" w:eastAsia="宋体"/>
          <w:color w:val="FF0000"/>
          <w:lang w:val="en-US" w:eastAsia="zh-CN"/>
        </w:rPr>
      </w:pPr>
      <w:r>
        <w:rPr>
          <w:rFonts w:hint="eastAsia" w:ascii="宋体" w:hAnsi="宋体"/>
          <w:color w:val="FF0000"/>
        </w:rPr>
        <w:t>注：</w:t>
      </w:r>
      <w:r>
        <w:rPr>
          <w:rFonts w:hint="eastAsia" w:ascii="宋体" w:hAnsi="宋体"/>
          <w:color w:val="FF0000"/>
          <w:lang w:val="en-US" w:eastAsia="zh-CN"/>
        </w:rPr>
        <w:t>招标人选择“招标采购人”身份进行注册。</w:t>
      </w:r>
    </w:p>
    <w:p w14:paraId="4122D175">
      <w:pPr>
        <w:pStyle w:val="4"/>
        <w:tabs>
          <w:tab w:val="left" w:pos="567"/>
        </w:tabs>
        <w:ind w:left="284" w:firstLine="0"/>
        <w:jc w:val="left"/>
      </w:pPr>
      <w:bookmarkStart w:id="71" w:name="_Toc387391658"/>
      <w:bookmarkStart w:id="72" w:name="_Toc70608146"/>
      <w:r>
        <w:rPr>
          <w:rFonts w:hint="eastAsia"/>
        </w:rPr>
        <w:t>市场主体库管理</w:t>
      </w:r>
      <w:bookmarkEnd w:id="71"/>
      <w:bookmarkEnd w:id="72"/>
    </w:p>
    <w:p w14:paraId="73CADEC8">
      <w:pPr>
        <w:ind w:firstLine="422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  <w:b/>
          <w:bCs/>
        </w:rPr>
        <w:t>功能说明：</w:t>
      </w:r>
      <w:r>
        <w:rPr>
          <w:rFonts w:hint="eastAsia" w:asciiTheme="minorEastAsia" w:hAnsiTheme="minorEastAsia" w:eastAsiaTheme="minorEastAsia"/>
        </w:rPr>
        <w:t>招标人登录后可以进行本单位基本信息的维护，录入、修改基本信息。</w:t>
      </w:r>
    </w:p>
    <w:p w14:paraId="01B48EA8">
      <w:pPr>
        <w:ind w:firstLine="422"/>
        <w:rPr>
          <w:rFonts w:asciiTheme="minorEastAsia" w:hAnsiTheme="minorEastAsia" w:eastAsiaTheme="minorEastAsia"/>
          <w:b/>
          <w:bCs/>
        </w:rPr>
      </w:pPr>
      <w:r>
        <w:rPr>
          <w:rFonts w:hint="eastAsia" w:asciiTheme="minorEastAsia" w:hAnsiTheme="minorEastAsia" w:eastAsiaTheme="minorEastAsia"/>
          <w:b/>
          <w:bCs/>
        </w:rPr>
        <w:t>操作步骤：</w:t>
      </w:r>
    </w:p>
    <w:p w14:paraId="1733B002">
      <w:pPr>
        <w:numPr>
          <w:ilvl w:val="0"/>
          <w:numId w:val="2"/>
        </w:numPr>
        <w:spacing w:line="360" w:lineRule="auto"/>
        <w:ind w:firstLine="420" w:firstLineChars="200"/>
        <w:jc w:val="left"/>
      </w:pPr>
      <w:bookmarkStart w:id="73" w:name="_Toc387391659"/>
      <w:r>
        <w:rPr>
          <w:rFonts w:hint="eastAsia" w:asciiTheme="minorEastAsia" w:hAnsiTheme="minorEastAsia" w:eastAsiaTheme="minorEastAsia"/>
        </w:rPr>
        <w:t>点击【招标采购人信息管理】栏目中的【基本信息】菜单，点击【修改信息】，进行市场主体库信息维护，如下图：</w:t>
      </w:r>
    </w:p>
    <w:p w14:paraId="65181C56">
      <w:pPr>
        <w:widowControl/>
        <w:rPr>
          <w:rFonts w:ascii="宋体" w:hAnsi="宋体" w:cs="宋体"/>
          <w:kern w:val="0"/>
          <w:sz w:val="24"/>
        </w:rPr>
      </w:pPr>
      <w:r>
        <w:drawing>
          <wp:inline distT="0" distB="0" distL="0" distR="0">
            <wp:extent cx="5274310" cy="2418715"/>
            <wp:effectExtent l="0" t="0" r="0" b="0"/>
            <wp:docPr id="37" name="图片 3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FF86E">
      <w:pPr>
        <w:widowControl/>
        <w:rPr>
          <w:rFonts w:ascii="宋体" w:hAnsi="宋体" w:cs="宋体"/>
          <w:kern w:val="0"/>
          <w:sz w:val="24"/>
        </w:rPr>
      </w:pPr>
      <w:r>
        <w:drawing>
          <wp:inline distT="0" distB="0" distL="0" distR="0">
            <wp:extent cx="5274310" cy="2546350"/>
            <wp:effectExtent l="0" t="0" r="0" b="0"/>
            <wp:docPr id="21" name="图片 2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B489D">
      <w:pPr>
        <w:spacing w:line="360" w:lineRule="auto"/>
        <w:ind w:firstLine="630" w:firstLineChars="300"/>
        <w:jc w:val="left"/>
      </w:pPr>
      <w:r>
        <w:rPr>
          <w:rFonts w:hint="eastAsia" w:asciiTheme="minorEastAsia" w:hAnsiTheme="minorEastAsia" w:eastAsiaTheme="minorEastAsia"/>
        </w:rPr>
        <w:t>4、完善页面的基本信息后，需要点击【电子件管理】继续完善相关电子件，全部完善好后点击【下一步】、【提交信息】，最后点击【确认提交】即可，如下图：</w:t>
      </w:r>
    </w:p>
    <w:p w14:paraId="146B3475">
      <w:r>
        <w:drawing>
          <wp:inline distT="0" distB="0" distL="0" distR="0">
            <wp:extent cx="5274310" cy="2491740"/>
            <wp:effectExtent l="0" t="0" r="0" b="0"/>
            <wp:docPr id="22" name="图片 22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F2BF9">
      <w:r>
        <w:drawing>
          <wp:inline distT="0" distB="0" distL="0" distR="0">
            <wp:extent cx="5274310" cy="2513330"/>
            <wp:effectExtent l="0" t="0" r="0" b="0"/>
            <wp:docPr id="52" name="图片 52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C8036">
      <w:pPr>
        <w:pStyle w:val="3"/>
        <w:tabs>
          <w:tab w:val="left" w:pos="425"/>
        </w:tabs>
        <w:ind w:left="432" w:firstLine="0"/>
        <w:jc w:val="left"/>
      </w:pPr>
      <w:bookmarkStart w:id="74" w:name="_Toc70608147"/>
      <w:r>
        <w:rPr>
          <w:rFonts w:hint="eastAsia"/>
          <w:lang w:val="en-US" w:eastAsia="zh-CN"/>
        </w:rPr>
        <w:t>工程业务</w:t>
      </w:r>
      <w:bookmarkEnd w:id="73"/>
      <w:bookmarkEnd w:id="74"/>
    </w:p>
    <w:p w14:paraId="2AB4CF86">
      <w:pPr>
        <w:pStyle w:val="4"/>
        <w:tabs>
          <w:tab w:val="left" w:pos="567"/>
        </w:tabs>
        <w:ind w:left="0" w:firstLine="0"/>
      </w:pPr>
      <w:r>
        <w:rPr>
          <w:rFonts w:hint="eastAsia"/>
          <w:lang w:val="en-US" w:eastAsia="zh-CN"/>
        </w:rPr>
        <w:t>招标方案</w:t>
      </w:r>
    </w:p>
    <w:p w14:paraId="2E77277E">
      <w:pPr>
        <w:pStyle w:val="5"/>
        <w:bidi w:val="0"/>
        <w:rPr>
          <w:rFonts w:hint="default"/>
          <w:lang w:val="en-US"/>
        </w:rPr>
      </w:pPr>
      <w:r>
        <w:rPr>
          <w:rFonts w:hint="eastAsia"/>
          <w:lang w:val="en-US" w:eastAsia="zh-CN"/>
        </w:rPr>
        <w:t>项目注册</w:t>
      </w:r>
    </w:p>
    <w:p w14:paraId="059D497A">
      <w:r>
        <w:rPr>
          <w:rFonts w:hint="eastAsia"/>
          <w:b/>
        </w:rPr>
        <w:t>流程功能：</w:t>
      </w:r>
      <w:r>
        <w:rPr>
          <w:rFonts w:hint="eastAsia"/>
          <w:lang w:val="en-US" w:eastAsia="zh-CN"/>
        </w:rPr>
        <w:t>招标人进行项目注册，完善项目注册信息，指定代理机构</w:t>
      </w:r>
      <w:r>
        <w:rPr>
          <w:rFonts w:hint="eastAsia"/>
        </w:rPr>
        <w:t>。</w:t>
      </w:r>
    </w:p>
    <w:p w14:paraId="45D196C7">
      <w:pPr>
        <w:rPr>
          <w:b/>
        </w:rPr>
      </w:pPr>
      <w:r>
        <w:rPr>
          <w:rFonts w:hint="eastAsia"/>
          <w:b/>
        </w:rPr>
        <w:t>操作步骤：</w:t>
      </w:r>
    </w:p>
    <w:p w14:paraId="4B1E9B92">
      <w:pPr>
        <w:pStyle w:val="34"/>
        <w:numPr>
          <w:ilvl w:val="0"/>
          <w:numId w:val="3"/>
        </w:numPr>
        <w:ind w:firstLineChars="0"/>
      </w:pPr>
      <w:r>
        <w:rPr>
          <w:rFonts w:hint="eastAsia"/>
        </w:rPr>
        <w:t>招标人登录</w:t>
      </w:r>
      <w:r>
        <w:rPr>
          <w:rFonts w:hint="eastAsia"/>
          <w:lang w:val="en-US" w:eastAsia="zh-CN"/>
        </w:rPr>
        <w:t>市场主体系统</w:t>
      </w:r>
      <w:r>
        <w:rPr>
          <w:rFonts w:hint="eastAsia"/>
        </w:rPr>
        <w:t>，进入“项目注册”页面中，如下图：</w:t>
      </w:r>
    </w:p>
    <w:p w14:paraId="6B34E815">
      <w:r>
        <w:drawing>
          <wp:inline distT="0" distB="0" distL="114300" distR="114300">
            <wp:extent cx="5261610" cy="1906270"/>
            <wp:effectExtent l="0" t="0" r="15240" b="17780"/>
            <wp:docPr id="3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190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EC064">
      <w:pPr>
        <w:pStyle w:val="34"/>
        <w:numPr>
          <w:ilvl w:val="0"/>
          <w:numId w:val="3"/>
        </w:numPr>
        <w:ind w:firstLineChars="0"/>
      </w:pPr>
      <w:r>
        <w:rPr>
          <w:rFonts w:hint="eastAsia"/>
        </w:rPr>
        <w:t>点击“新建项目”，进入新增项目信息页面，如下图：</w:t>
      </w:r>
    </w:p>
    <w:p w14:paraId="0CC4346A">
      <w:r>
        <w:drawing>
          <wp:inline distT="0" distB="0" distL="0" distR="0">
            <wp:extent cx="5274310" cy="2627630"/>
            <wp:effectExtent l="0" t="0" r="0" b="0"/>
            <wp:docPr id="25" name="图片 25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5EB1C">
      <w:r>
        <w:rPr>
          <w:rFonts w:hint="eastAsia"/>
        </w:rPr>
        <w:t>填写项目名称、地点等信息等项目注册基本信息，选择项目行业分类，项目法人信息从登录帐号市场主体库获取，也可以点击“检索”按钮选择已经入库的招标人。</w:t>
      </w:r>
    </w:p>
    <w:p w14:paraId="5FA0E0F4">
      <w:r>
        <w:drawing>
          <wp:inline distT="0" distB="0" distL="0" distR="0">
            <wp:extent cx="5274310" cy="1833245"/>
            <wp:effectExtent l="0" t="0" r="0" b="0"/>
            <wp:docPr id="26" name="图片 26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文本&#10;&#10;描述已自动生成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33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2BA4A5">
      <w:r>
        <w:rPr>
          <w:rFonts w:hint="eastAsia"/>
        </w:rPr>
        <w:t>填写项目投资总额和资金来源，资金来源只填写金额/百分比系统可自动算出百分比/金额并自动填写进去（前提是投资总额已填）。</w:t>
      </w:r>
    </w:p>
    <w:p w14:paraId="5D374C3E">
      <w:r>
        <w:drawing>
          <wp:inline distT="0" distB="0" distL="0" distR="0">
            <wp:extent cx="5274310" cy="1475105"/>
            <wp:effectExtent l="0" t="0" r="0" b="0"/>
            <wp:docPr id="27" name="图片 27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7F2865">
      <w:r>
        <w:drawing>
          <wp:inline distT="0" distB="0" distL="0" distR="0">
            <wp:extent cx="5274310" cy="2355215"/>
            <wp:effectExtent l="0" t="0" r="0" b="0"/>
            <wp:docPr id="28" name="图片 28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55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7FD4F">
      <w:r>
        <w:rPr>
          <w:rFonts w:hint="eastAsia"/>
        </w:rPr>
        <w:t>点击“新增招标人”和“新增招标代理”按钮，点击</w:t>
      </w:r>
      <w:r>
        <w:drawing>
          <wp:inline distT="0" distB="0" distL="0" distR="0">
            <wp:extent cx="294640" cy="227965"/>
            <wp:effectExtent l="0" t="0" r="0" b="635"/>
            <wp:docPr id="448" name="图片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图片 448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95238" cy="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可在市场主体库选择已经入库的正式业主和代理机构。选择的代理机构将进行接下来的项目代理工作。</w:t>
      </w:r>
    </w:p>
    <w:p w14:paraId="6D130FB1">
      <w:r>
        <w:rPr>
          <w:rFonts w:hint="eastAsia"/>
        </w:rPr>
        <w:t>所有内容填写设置完成后，点“下一步”送相关工作人员进行备案审核（如果点“修改保存”，则暂时不提交，该信息为编辑状态，以后可以修改再提交审核）。</w:t>
      </w:r>
    </w:p>
    <w:p w14:paraId="4875B460">
      <w:r>
        <w:drawing>
          <wp:inline distT="0" distB="0" distL="0" distR="0">
            <wp:extent cx="5274310" cy="1132840"/>
            <wp:effectExtent l="0" t="0" r="0" b="0"/>
            <wp:docPr id="449" name="图片 449" descr="背景图案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图片 449" descr="背景图案&#10;&#10;描述已自动生成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32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C6126">
      <w:r>
        <w:rPr>
          <w:rFonts w:hint="eastAsia"/>
        </w:rPr>
        <w:t>点击下一步按钮进入项目详细信息页面，根据说明上传需上传的电子件，</w:t>
      </w:r>
    </w:p>
    <w:p w14:paraId="439208FB">
      <w:r>
        <w:rPr>
          <w:rFonts w:hint="eastAsia"/>
        </w:rPr>
        <w:t>特别提示：</w:t>
      </w:r>
    </w:p>
    <w:p w14:paraId="1D6BB4A0">
      <w:r>
        <w:rPr>
          <w:rFonts w:hint="eastAsia"/>
        </w:rPr>
        <w:t>1、工程注册提交审核后，可以在“审核状态”列中查看其状态。</w:t>
      </w:r>
    </w:p>
    <w:p w14:paraId="0F70446C">
      <w:pPr>
        <w:rPr>
          <w:rFonts w:hint="eastAsia"/>
        </w:rPr>
      </w:pPr>
      <w:r>
        <w:rPr>
          <w:rFonts w:hint="eastAsia"/>
        </w:rPr>
        <w:t>2、只有处于“编辑中”、“审核未通过”状态的项目才可以删除。</w:t>
      </w:r>
    </w:p>
    <w:p w14:paraId="2CF628D1">
      <w:pPr>
        <w:pStyle w:val="2"/>
        <w:ind w:left="0" w:leftChars="0" w:firstLine="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3、若是固定资产投资项目，招标人录入投资项目统一代码、项目名称后，点击“同步投资项目在线审批平台信息”按钮，可同步项目信息。</w:t>
      </w:r>
    </w:p>
    <w:p w14:paraId="14A3C07A">
      <w:pPr>
        <w:pStyle w:val="5"/>
        <w:bidi w:val="0"/>
      </w:pPr>
      <w:bookmarkStart w:id="75" w:name="_Toc70608149"/>
      <w:r>
        <w:t>招标代理更换</w:t>
      </w:r>
      <w:bookmarkEnd w:id="75"/>
    </w:p>
    <w:p w14:paraId="33E2D16E">
      <w:pPr>
        <w:ind w:firstLine="422"/>
      </w:pPr>
      <w:r>
        <w:rPr>
          <w:rFonts w:hint="eastAsia"/>
          <w:b/>
        </w:rPr>
        <w:t>前提条件：</w:t>
      </w:r>
      <w:r>
        <w:rPr>
          <w:rFonts w:hint="eastAsia"/>
        </w:rPr>
        <w:t>项目已完成注册</w:t>
      </w:r>
    </w:p>
    <w:p w14:paraId="0CE3DD45">
      <w:pPr>
        <w:ind w:firstLine="422"/>
      </w:pPr>
      <w:r>
        <w:rPr>
          <w:rFonts w:hint="eastAsia"/>
          <w:b/>
        </w:rPr>
        <w:t>流程功能：</w:t>
      </w:r>
      <w:r>
        <w:rPr>
          <w:rFonts w:hint="eastAsia"/>
        </w:rPr>
        <w:t>招标人更换代理机构</w:t>
      </w:r>
    </w:p>
    <w:p w14:paraId="2DA7C435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77343324">
      <w:pPr>
        <w:ind w:firstLine="422"/>
      </w:pPr>
      <w:r>
        <w:rPr>
          <w:rFonts w:hint="eastAsia"/>
        </w:rPr>
        <w:t>1、点击“招标方案—招标代理更换”菜单，找到需要变更代理的标段点击后面的</w:t>
      </w:r>
      <w:r>
        <w:rPr>
          <w:rFonts w:hint="eastAsia"/>
        </w:rPr>
        <w:drawing>
          <wp:inline distT="0" distB="0" distL="0" distR="0">
            <wp:extent cx="245745" cy="198120"/>
            <wp:effectExtent l="19050" t="0" r="1905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5745" cy="19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进入到变更页面点击“更换代理”，如下图：</w:t>
      </w:r>
    </w:p>
    <w:p w14:paraId="4025DDC3">
      <w:r>
        <w:drawing>
          <wp:inline distT="0" distB="0" distL="0" distR="0">
            <wp:extent cx="5274310" cy="1692275"/>
            <wp:effectExtent l="0" t="0" r="0" b="0"/>
            <wp:docPr id="450" name="图片 450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图片 450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430D7"/>
    <w:p w14:paraId="691BD41D">
      <w:r>
        <w:drawing>
          <wp:inline distT="0" distB="0" distL="0" distR="0">
            <wp:extent cx="5274310" cy="2535555"/>
            <wp:effectExtent l="0" t="0" r="0" b="0"/>
            <wp:docPr id="452" name="图片 452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图片 452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75F11">
      <w:r>
        <w:t>点击“新增招标代理”，在列表中选择需要新增的代理机构，也可以勾选现有的代理进行删除操作。</w:t>
      </w:r>
    </w:p>
    <w:p w14:paraId="58E65EB5">
      <w:pPr>
        <w:rPr>
          <w:rFonts w:hint="eastAsia"/>
          <w:b/>
        </w:rPr>
      </w:pPr>
      <w:r>
        <w:drawing>
          <wp:inline distT="0" distB="0" distL="0" distR="0">
            <wp:extent cx="5274310" cy="2562225"/>
            <wp:effectExtent l="0" t="0" r="0" b="0"/>
            <wp:docPr id="453" name="图片 453" descr="电脑屏幕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图片 453" descr="电脑屏幕截图&#10;&#10;描述已自动生成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EAA6C">
      <w:pPr>
        <w:pStyle w:val="4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定标</w:t>
      </w:r>
    </w:p>
    <w:p w14:paraId="7BA8377A"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项目复议</w:t>
      </w:r>
    </w:p>
    <w:p w14:paraId="3FB1CA44">
      <w:pPr>
        <w:rPr>
          <w:rFonts w:hint="default"/>
          <w:lang w:val="en-US" w:eastAsia="zh-CN"/>
        </w:rPr>
      </w:pPr>
    </w:p>
    <w:p w14:paraId="4ACC9257">
      <w:pPr>
        <w:ind w:firstLine="422"/>
        <w:rPr>
          <w:rFonts w:hint="default" w:eastAsia="宋体"/>
          <w:lang w:val="en-US" w:eastAsia="zh-CN"/>
        </w:rPr>
      </w:pPr>
      <w:r>
        <w:rPr>
          <w:rFonts w:hint="eastAsia"/>
          <w:b/>
        </w:rPr>
        <w:t>前提条件：</w:t>
      </w:r>
      <w:r>
        <w:rPr>
          <w:rFonts w:hint="eastAsia"/>
        </w:rPr>
        <w:t>项目已</w:t>
      </w:r>
      <w:r>
        <w:rPr>
          <w:rFonts w:hint="eastAsia"/>
          <w:lang w:val="en-US" w:eastAsia="zh-CN"/>
        </w:rPr>
        <w:t>评标结束</w:t>
      </w:r>
    </w:p>
    <w:p w14:paraId="1BBB0E94">
      <w:pPr>
        <w:ind w:firstLine="422"/>
        <w:rPr>
          <w:rFonts w:hint="default" w:eastAsia="宋体"/>
          <w:lang w:val="en-US" w:eastAsia="zh-CN"/>
        </w:rPr>
      </w:pPr>
      <w:r>
        <w:rPr>
          <w:rFonts w:hint="eastAsia"/>
          <w:b/>
        </w:rPr>
        <w:t>流程功能：</w:t>
      </w:r>
      <w:r>
        <w:rPr>
          <w:rFonts w:hint="eastAsia"/>
        </w:rPr>
        <w:t>招标人</w:t>
      </w:r>
      <w:r>
        <w:rPr>
          <w:rFonts w:hint="eastAsia"/>
          <w:lang w:val="en-US" w:eastAsia="zh-CN"/>
        </w:rPr>
        <w:t>提交项目复议申请，中心工作人员审核后由代理提交复议场地预约。</w:t>
      </w:r>
    </w:p>
    <w:p w14:paraId="168DB2FB">
      <w:pPr>
        <w:ind w:firstLine="422"/>
        <w:rPr>
          <w:b/>
        </w:rPr>
      </w:pPr>
      <w:r>
        <w:rPr>
          <w:rFonts w:hint="eastAsia"/>
          <w:b/>
        </w:rPr>
        <w:t>操作步骤：</w:t>
      </w:r>
    </w:p>
    <w:p w14:paraId="3C538451">
      <w:pPr>
        <w:ind w:firstLine="422"/>
        <w:rPr>
          <w:rFonts w:hint="default"/>
          <w:lang w:val="en-US" w:eastAsia="zh-CN"/>
        </w:rPr>
      </w:pPr>
      <w:r>
        <w:rPr>
          <w:rFonts w:hint="eastAsia"/>
        </w:rPr>
        <w:t>1、点击“</w:t>
      </w:r>
      <w:r>
        <w:rPr>
          <w:rFonts w:hint="eastAsia"/>
          <w:lang w:val="en-US" w:eastAsia="zh-CN"/>
        </w:rPr>
        <w:t>定标</w:t>
      </w:r>
      <w:r>
        <w:rPr>
          <w:rFonts w:hint="eastAsia"/>
        </w:rPr>
        <w:t>—</w:t>
      </w:r>
      <w:r>
        <w:rPr>
          <w:rFonts w:hint="eastAsia"/>
          <w:lang w:val="en-US" w:eastAsia="zh-CN"/>
        </w:rPr>
        <w:t>项目复议</w:t>
      </w:r>
      <w:r>
        <w:rPr>
          <w:rFonts w:hint="eastAsia"/>
        </w:rPr>
        <w:t>”菜单，</w:t>
      </w:r>
      <w:r>
        <w:rPr>
          <w:rFonts w:hint="eastAsia"/>
          <w:lang w:val="en-US" w:eastAsia="zh-CN"/>
        </w:rPr>
        <w:t>点击“新增项目复议”按钮，挑选对应标段，</w:t>
      </w:r>
      <w:r>
        <w:rPr>
          <w:rFonts w:hint="eastAsia"/>
        </w:rPr>
        <w:t>如下图：</w:t>
      </w:r>
    </w:p>
    <w:p w14:paraId="74A7AC25">
      <w:r>
        <w:drawing>
          <wp:inline distT="0" distB="0" distL="114300" distR="114300">
            <wp:extent cx="5258435" cy="2002790"/>
            <wp:effectExtent l="0" t="0" r="18415" b="16510"/>
            <wp:docPr id="3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4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00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8BD29">
      <w:pPr>
        <w:pStyle w:val="2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2、招标人完善复议情况说明，上传相关电子件，提交项目复议申请，如下图：</w:t>
      </w:r>
    </w:p>
    <w:p w14:paraId="21713823">
      <w:pPr>
        <w:pStyle w:val="2"/>
      </w:pPr>
      <w:r>
        <w:drawing>
          <wp:inline distT="0" distB="0" distL="114300" distR="114300">
            <wp:extent cx="5259705" cy="2375535"/>
            <wp:effectExtent l="0" t="0" r="17145" b="5715"/>
            <wp:docPr id="4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5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59705" cy="237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DD724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采购业务</w:t>
      </w:r>
    </w:p>
    <w:p w14:paraId="6272E7FE"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项目注册</w:t>
      </w:r>
    </w:p>
    <w:p w14:paraId="7EE8BF10">
      <w:pPr>
        <w:pStyle w:val="5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新建项目</w:t>
      </w:r>
    </w:p>
    <w:p w14:paraId="08680C6A">
      <w:pPr>
        <w:ind w:firstLine="420" w:firstLineChars="0"/>
        <w:rPr>
          <w:rFonts w:hint="eastAsia"/>
          <w:b w:val="0"/>
          <w:bCs/>
          <w:lang w:val="en-US" w:eastAsia="zh-CN"/>
        </w:rPr>
      </w:pPr>
      <w:r>
        <w:rPr>
          <w:rFonts w:hint="eastAsia"/>
          <w:b/>
          <w:lang w:val="en-US" w:eastAsia="zh-CN"/>
        </w:rPr>
        <w:t>流程功能：</w:t>
      </w:r>
      <w:r>
        <w:rPr>
          <w:rFonts w:hint="eastAsia"/>
          <w:b/>
          <w:bCs w:val="0"/>
          <w:color w:val="FF0000"/>
          <w:lang w:val="en-US" w:eastAsia="zh-CN"/>
        </w:rPr>
        <w:t>非财政厅推送项目</w:t>
      </w:r>
      <w:r>
        <w:rPr>
          <w:rFonts w:hint="eastAsia"/>
          <w:b w:val="0"/>
          <w:bCs/>
          <w:lang w:val="en-US" w:eastAsia="zh-CN"/>
        </w:rPr>
        <w:t>，由采购人自行注册项目、划分分包，指定代理机构。</w:t>
      </w:r>
    </w:p>
    <w:p w14:paraId="6E1BFD68">
      <w:pPr>
        <w:pStyle w:val="2"/>
        <w:rPr>
          <w:rFonts w:hint="default"/>
          <w:lang w:val="en-US" w:eastAsia="zh-CN"/>
        </w:rPr>
      </w:pPr>
      <w:r>
        <w:rPr>
          <w:rFonts w:hint="eastAsia"/>
          <w:b/>
          <w:bCs w:val="0"/>
          <w:color w:val="FF0000"/>
          <w:lang w:val="en-US" w:eastAsia="zh-CN"/>
        </w:rPr>
        <w:t>财政厅推送项目</w:t>
      </w:r>
      <w:r>
        <w:rPr>
          <w:rFonts w:hint="eastAsia"/>
          <w:b w:val="0"/>
          <w:bCs/>
          <w:lang w:val="en-US" w:eastAsia="zh-CN"/>
        </w:rPr>
        <w:t>，由代理机构新建项目，挑选采购计划，进行划分分包。</w:t>
      </w:r>
    </w:p>
    <w:p w14:paraId="768EAF6D">
      <w:pPr>
        <w:ind w:firstLine="420" w:firstLineChars="0"/>
        <w:rPr>
          <w:rFonts w:hint="eastAsia"/>
          <w:b/>
        </w:rPr>
      </w:pPr>
      <w:r>
        <w:rPr>
          <w:rFonts w:hint="eastAsia"/>
          <w:b/>
        </w:rPr>
        <w:t>操作步骤：</w:t>
      </w:r>
    </w:p>
    <w:p w14:paraId="58096CBF">
      <w:pPr>
        <w:numPr>
          <w:ilvl w:val="0"/>
          <w:numId w:val="4"/>
        </w:numPr>
        <w:ind w:firstLine="422"/>
        <w:rPr>
          <w:rFonts w:hint="eastAsia"/>
        </w:rPr>
      </w:pPr>
      <w:r>
        <w:rPr>
          <w:rFonts w:hint="eastAsia"/>
        </w:rPr>
        <w:t>点击“</w:t>
      </w:r>
      <w:r>
        <w:rPr>
          <w:rFonts w:hint="eastAsia"/>
          <w:lang w:val="en-US" w:eastAsia="zh-CN"/>
        </w:rPr>
        <w:t>项目注册</w:t>
      </w:r>
      <w:r>
        <w:rPr>
          <w:rFonts w:hint="eastAsia"/>
        </w:rPr>
        <w:t>—</w:t>
      </w:r>
      <w:r>
        <w:rPr>
          <w:rFonts w:hint="eastAsia"/>
          <w:lang w:val="en-US" w:eastAsia="zh-CN"/>
        </w:rPr>
        <w:t>新建项目</w:t>
      </w:r>
      <w:r>
        <w:rPr>
          <w:rFonts w:hint="eastAsia"/>
        </w:rPr>
        <w:t>”菜单，</w:t>
      </w:r>
      <w:r>
        <w:rPr>
          <w:rFonts w:hint="eastAsia"/>
          <w:lang w:val="en-US" w:eastAsia="zh-CN"/>
        </w:rPr>
        <w:t>点击“新建项目”按钮，</w:t>
      </w:r>
      <w:r>
        <w:rPr>
          <w:rFonts w:hint="eastAsia"/>
        </w:rPr>
        <w:t>如下图：</w:t>
      </w:r>
    </w:p>
    <w:p w14:paraId="055BDD0A">
      <w:pPr>
        <w:pStyle w:val="2"/>
        <w:numPr>
          <w:ilvl w:val="0"/>
          <w:numId w:val="0"/>
        </w:numPr>
      </w:pPr>
      <w:r>
        <w:drawing>
          <wp:inline distT="0" distB="0" distL="114300" distR="114300">
            <wp:extent cx="5271770" cy="1756410"/>
            <wp:effectExtent l="0" t="0" r="5080" b="15240"/>
            <wp:docPr id="5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8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75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0AE26">
      <w:pPr>
        <w:pStyle w:val="2"/>
        <w:numPr>
          <w:ilvl w:val="0"/>
          <w:numId w:val="0"/>
        </w:numPr>
        <w:ind w:firstLine="420" w:firstLineChars="0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2、招标人完善项目信息，划分分包后提交项目注册信息，如下图：</w:t>
      </w:r>
    </w:p>
    <w:p w14:paraId="1D3C6307">
      <w:r>
        <w:drawing>
          <wp:inline distT="0" distB="0" distL="114300" distR="114300">
            <wp:extent cx="5262245" cy="2350770"/>
            <wp:effectExtent l="0" t="0" r="14605" b="11430"/>
            <wp:docPr id="5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7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EC600"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注意：</w:t>
      </w:r>
    </w:p>
    <w:p w14:paraId="526C8D9F">
      <w:pPr>
        <w:pStyle w:val="2"/>
        <w:rPr>
          <w:rFonts w:hint="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财政厅推送项目：由代理机构挑选采购计划，完成项目注册及后续招标流程。无需采购人进行操作。</w:t>
      </w:r>
    </w:p>
    <w:p w14:paraId="0FBA7E49">
      <w:pPr>
        <w:pStyle w:val="2"/>
        <w:rPr>
          <w:rFonts w:hint="default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  <w:lang w:val="en-US" w:eastAsia="zh-CN"/>
        </w:rPr>
        <w:t>非财政厅推送项目：需采购人注册项目划分分包，指定代理机构后，由代理进行项目注册之后的招标流程</w:t>
      </w:r>
    </w:p>
    <w:p w14:paraId="126E1250">
      <w:pPr>
        <w:rPr>
          <w:rFonts w:hint="default"/>
          <w:lang w:val="en-US" w:eastAsia="zh-CN"/>
        </w:rPr>
      </w:pPr>
    </w:p>
    <w:p w14:paraId="03150F18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招标人自行招标</w:t>
      </w:r>
    </w:p>
    <w:p w14:paraId="4458DC54">
      <w:pPr>
        <w:ind w:firstLine="420" w:firstLineChars="0"/>
        <w:rPr>
          <w:rFonts w:hint="default" w:eastAsia="宋体"/>
          <w:color w:val="FF0000"/>
          <w:lang w:val="en-US" w:eastAsia="zh-CN"/>
        </w:rPr>
      </w:pPr>
      <w:r>
        <w:rPr>
          <w:rFonts w:hint="eastAsia"/>
          <w:color w:val="FF0000"/>
          <w:lang w:val="en-US" w:eastAsia="zh-CN"/>
        </w:rPr>
        <w:t>招标人自行招标项目，招标业务流程参考代理机构操作手册。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454" w:footer="680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思源宋体 CN Light">
    <w:altName w:val="宋体"/>
    <w:panose1 w:val="00000000000000000000"/>
    <w:charset w:val="86"/>
    <w:family w:val="roman"/>
    <w:pitch w:val="default"/>
    <w:sig w:usb0="00000000" w:usb1="00000000" w:usb2="00000016" w:usb3="00000000" w:csb0="60060107" w:csb1="00000000"/>
  </w:font>
  <w:font w:name="思源黑体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思源宋体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F887EF">
    <w:pPr>
      <w:pStyle w:val="15"/>
      <w:pBdr>
        <w:top w:val="single" w:color="9BBB59" w:sz="24" w:space="5"/>
      </w:pBdr>
      <w:jc w:val="right"/>
      <w:rPr>
        <w:i/>
        <w:iCs/>
        <w:color w:val="8C8C8C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rPr>
        <w:lang w:val="zh-CN"/>
      </w:rPr>
      <w:t xml:space="preserve"> /</w:t>
    </w:r>
    <w:r>
      <w:rPr>
        <w:rFonts w:hint="eastAsia"/>
        <w:lang w:val="zh-CN"/>
      </w:rPr>
      <w:t>25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71FE3B">
    <w:pPr>
      <w:pStyle w:val="16"/>
      <w:pBdr>
        <w:bottom w:val="thickThinSmallGap" w:color="622423" w:sz="24" w:space="12"/>
      </w:pBdr>
      <w:jc w:val="left"/>
      <w:rPr>
        <w:rFonts w:ascii="Cambria" w:hAnsi="Cambria"/>
      </w:rPr>
    </w:pPr>
    <w:r>
      <w:rPr>
        <w:rFonts w:hint="eastAsia" w:ascii="Cambria" w:hAnsi="Cambria"/>
      </w:rPr>
      <w:t>操作手册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F5C922"/>
    <w:multiLevelType w:val="singleLevel"/>
    <w:tmpl w:val="0EF5C922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CB5077B"/>
    <w:multiLevelType w:val="multilevel"/>
    <w:tmpl w:val="4CB5077B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35DF788"/>
    <w:multiLevelType w:val="singleLevel"/>
    <w:tmpl w:val="535DF788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A2F4AB3"/>
    <w:multiLevelType w:val="multilevel"/>
    <w:tmpl w:val="6A2F4AB3"/>
    <w:lvl w:ilvl="0" w:tentative="0">
      <w:start w:val="1"/>
      <w:numFmt w:val="chineseCountingThousand"/>
      <w:pStyle w:val="3"/>
      <w:suff w:val="nothing"/>
      <w:lvlText w:val="%1、"/>
      <w:lvlJc w:val="left"/>
      <w:pPr>
        <w:ind w:left="2126" w:hanging="425"/>
      </w:pPr>
      <w:rPr>
        <w:rFonts w:hint="eastAsia"/>
      </w:rPr>
    </w:lvl>
    <w:lvl w:ilvl="1" w:tentative="0">
      <w:start w:val="1"/>
      <w:numFmt w:val="decimal"/>
      <w:pStyle w:val="4"/>
      <w:isLgl/>
      <w:suff w:val="nothing"/>
      <w:lvlText w:val="%1.%2、"/>
      <w:lvlJc w:val="left"/>
      <w:pPr>
        <w:ind w:left="567" w:hanging="567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pStyle w:val="5"/>
      <w:isLgl/>
      <w:suff w:val="nothing"/>
      <w:lvlText w:val="%1.%2.%3、"/>
      <w:lvlJc w:val="left"/>
      <w:pPr>
        <w:ind w:left="1069" w:hanging="1069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6"/>
      <w:isLgl/>
      <w:suff w:val="nothing"/>
      <w:lvlText w:val="%1.%2.%3.%4、"/>
      <w:lvlJc w:val="left"/>
      <w:pPr>
        <w:ind w:left="851" w:hanging="851"/>
      </w:pPr>
      <w:rPr>
        <w:rFonts w:hint="default" w:ascii="Times New Roman" w:hAnsi="Times New Roman" w:eastAsia="宋体" w:cs="Times New Roman"/>
        <w:sz w:val="24"/>
        <w:szCs w:val="24"/>
      </w:rPr>
    </w:lvl>
    <w:lvl w:ilvl="4" w:tentative="0">
      <w:start w:val="1"/>
      <w:numFmt w:val="decimal"/>
      <w:pStyle w:val="7"/>
      <w:isLgl/>
      <w:suff w:val="nothing"/>
      <w:lvlText w:val="%1.%2.%3.%4.%5、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pStyle w:val="8"/>
      <w:isLgl/>
      <w:suff w:val="nothing"/>
      <w:lvlText w:val="%1.%2.%3.%4.%5.%6、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276" w:hanging="127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1559" w:hanging="1559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C92A5C"/>
    <w:rsid w:val="00013D8D"/>
    <w:rsid w:val="00015742"/>
    <w:rsid w:val="00023EC2"/>
    <w:rsid w:val="000602EE"/>
    <w:rsid w:val="00075CC6"/>
    <w:rsid w:val="000B08C6"/>
    <w:rsid w:val="000C252B"/>
    <w:rsid w:val="000D33C5"/>
    <w:rsid w:val="000E41BB"/>
    <w:rsid w:val="000E42A3"/>
    <w:rsid w:val="00111262"/>
    <w:rsid w:val="0011351A"/>
    <w:rsid w:val="001201C9"/>
    <w:rsid w:val="00122574"/>
    <w:rsid w:val="00126A29"/>
    <w:rsid w:val="0015151E"/>
    <w:rsid w:val="00154365"/>
    <w:rsid w:val="0017130A"/>
    <w:rsid w:val="001A0A42"/>
    <w:rsid w:val="001A7CAF"/>
    <w:rsid w:val="001B3863"/>
    <w:rsid w:val="001B6D86"/>
    <w:rsid w:val="001B7A4C"/>
    <w:rsid w:val="001C7486"/>
    <w:rsid w:val="001D6F1F"/>
    <w:rsid w:val="001E56CE"/>
    <w:rsid w:val="001E6CA4"/>
    <w:rsid w:val="001F3111"/>
    <w:rsid w:val="00202656"/>
    <w:rsid w:val="00217486"/>
    <w:rsid w:val="00217854"/>
    <w:rsid w:val="00222525"/>
    <w:rsid w:val="00240091"/>
    <w:rsid w:val="00244425"/>
    <w:rsid w:val="00255493"/>
    <w:rsid w:val="0026042F"/>
    <w:rsid w:val="00267C95"/>
    <w:rsid w:val="00294549"/>
    <w:rsid w:val="002B224C"/>
    <w:rsid w:val="002B30B9"/>
    <w:rsid w:val="002D0B97"/>
    <w:rsid w:val="002D0F57"/>
    <w:rsid w:val="002F0950"/>
    <w:rsid w:val="00324B4F"/>
    <w:rsid w:val="003353F5"/>
    <w:rsid w:val="00344033"/>
    <w:rsid w:val="0037354B"/>
    <w:rsid w:val="00376309"/>
    <w:rsid w:val="00377CD5"/>
    <w:rsid w:val="003F7437"/>
    <w:rsid w:val="004376B7"/>
    <w:rsid w:val="004504F6"/>
    <w:rsid w:val="00474A40"/>
    <w:rsid w:val="0047581E"/>
    <w:rsid w:val="0049732A"/>
    <w:rsid w:val="004A6E51"/>
    <w:rsid w:val="004D0228"/>
    <w:rsid w:val="004D060C"/>
    <w:rsid w:val="004D31DB"/>
    <w:rsid w:val="004E4B0C"/>
    <w:rsid w:val="005404AE"/>
    <w:rsid w:val="00547DD7"/>
    <w:rsid w:val="00583D1F"/>
    <w:rsid w:val="00585E91"/>
    <w:rsid w:val="005942A3"/>
    <w:rsid w:val="005E4B1C"/>
    <w:rsid w:val="0061591C"/>
    <w:rsid w:val="00636C94"/>
    <w:rsid w:val="00647C5D"/>
    <w:rsid w:val="00676ECD"/>
    <w:rsid w:val="006A5291"/>
    <w:rsid w:val="006A5B86"/>
    <w:rsid w:val="006C6991"/>
    <w:rsid w:val="006C7BF0"/>
    <w:rsid w:val="006D2652"/>
    <w:rsid w:val="006D2F3A"/>
    <w:rsid w:val="006D4B18"/>
    <w:rsid w:val="006D65E4"/>
    <w:rsid w:val="006E02F8"/>
    <w:rsid w:val="006E2C70"/>
    <w:rsid w:val="006E7B7F"/>
    <w:rsid w:val="00706E39"/>
    <w:rsid w:val="00713007"/>
    <w:rsid w:val="00725917"/>
    <w:rsid w:val="00751EFE"/>
    <w:rsid w:val="00752136"/>
    <w:rsid w:val="007566EA"/>
    <w:rsid w:val="0079196F"/>
    <w:rsid w:val="00791BC7"/>
    <w:rsid w:val="007927F2"/>
    <w:rsid w:val="00792DCF"/>
    <w:rsid w:val="007B55D0"/>
    <w:rsid w:val="007F5621"/>
    <w:rsid w:val="00827066"/>
    <w:rsid w:val="00847079"/>
    <w:rsid w:val="008531A2"/>
    <w:rsid w:val="00877BB6"/>
    <w:rsid w:val="008B50AF"/>
    <w:rsid w:val="008D2950"/>
    <w:rsid w:val="008E4371"/>
    <w:rsid w:val="008F27E6"/>
    <w:rsid w:val="008F5EBD"/>
    <w:rsid w:val="008F6D8B"/>
    <w:rsid w:val="00910143"/>
    <w:rsid w:val="009521AD"/>
    <w:rsid w:val="0095315F"/>
    <w:rsid w:val="00963930"/>
    <w:rsid w:val="0099009E"/>
    <w:rsid w:val="00997EC9"/>
    <w:rsid w:val="009D2FDC"/>
    <w:rsid w:val="009F47D3"/>
    <w:rsid w:val="009F4D87"/>
    <w:rsid w:val="00A01952"/>
    <w:rsid w:val="00A02713"/>
    <w:rsid w:val="00A20B39"/>
    <w:rsid w:val="00A3631D"/>
    <w:rsid w:val="00A37E28"/>
    <w:rsid w:val="00A43340"/>
    <w:rsid w:val="00A80AFB"/>
    <w:rsid w:val="00A90994"/>
    <w:rsid w:val="00AA2716"/>
    <w:rsid w:val="00B35023"/>
    <w:rsid w:val="00B443EA"/>
    <w:rsid w:val="00B54A8D"/>
    <w:rsid w:val="00B62C4A"/>
    <w:rsid w:val="00B833BE"/>
    <w:rsid w:val="00B84050"/>
    <w:rsid w:val="00B96286"/>
    <w:rsid w:val="00BA5315"/>
    <w:rsid w:val="00C0057A"/>
    <w:rsid w:val="00C1397B"/>
    <w:rsid w:val="00C52ED5"/>
    <w:rsid w:val="00C63DDC"/>
    <w:rsid w:val="00C73462"/>
    <w:rsid w:val="00C77127"/>
    <w:rsid w:val="00C92A5C"/>
    <w:rsid w:val="00C95CD6"/>
    <w:rsid w:val="00CA5581"/>
    <w:rsid w:val="00CA6A4B"/>
    <w:rsid w:val="00CA7113"/>
    <w:rsid w:val="00CE6CBA"/>
    <w:rsid w:val="00CF3AC7"/>
    <w:rsid w:val="00CF5CA6"/>
    <w:rsid w:val="00D06803"/>
    <w:rsid w:val="00D2170F"/>
    <w:rsid w:val="00D34610"/>
    <w:rsid w:val="00D36647"/>
    <w:rsid w:val="00D414CE"/>
    <w:rsid w:val="00D6797D"/>
    <w:rsid w:val="00D67CCF"/>
    <w:rsid w:val="00DA14B3"/>
    <w:rsid w:val="00DB3D7B"/>
    <w:rsid w:val="00DC6C2E"/>
    <w:rsid w:val="00E0254F"/>
    <w:rsid w:val="00E048CB"/>
    <w:rsid w:val="00E61B69"/>
    <w:rsid w:val="00E81795"/>
    <w:rsid w:val="00E83240"/>
    <w:rsid w:val="00E93D4A"/>
    <w:rsid w:val="00EC7F9F"/>
    <w:rsid w:val="00ED7326"/>
    <w:rsid w:val="00EF21FF"/>
    <w:rsid w:val="00F33922"/>
    <w:rsid w:val="00F7296B"/>
    <w:rsid w:val="00F86DA4"/>
    <w:rsid w:val="00FA17DA"/>
    <w:rsid w:val="00FB1FEB"/>
    <w:rsid w:val="00FB20EA"/>
    <w:rsid w:val="00FC1451"/>
    <w:rsid w:val="00FC5966"/>
    <w:rsid w:val="00FD046F"/>
    <w:rsid w:val="00FD1BEC"/>
    <w:rsid w:val="00FD5AE5"/>
    <w:rsid w:val="00FD7EC5"/>
    <w:rsid w:val="0CFD4672"/>
    <w:rsid w:val="37C463B7"/>
    <w:rsid w:val="45584355"/>
    <w:rsid w:val="6C363137"/>
    <w:rsid w:val="7ADA1D3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semiHidden="0" w:name="heading 5"/>
    <w:lsdException w:qFormat="1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23"/>
    <w:qFormat/>
    <w:uiPriority w:val="0"/>
    <w:pPr>
      <w:keepNext/>
      <w:keepLines/>
      <w:numPr>
        <w:ilvl w:val="0"/>
        <w:numId w:val="1"/>
      </w:numPr>
      <w:spacing w:before="120" w:after="120" w:line="360" w:lineRule="auto"/>
      <w:ind w:left="425"/>
      <w:outlineLvl w:val="0"/>
    </w:pPr>
    <w:rPr>
      <w:b/>
      <w:bCs/>
      <w:kern w:val="44"/>
      <w:sz w:val="32"/>
      <w:szCs w:val="28"/>
    </w:rPr>
  </w:style>
  <w:style w:type="paragraph" w:styleId="4">
    <w:name w:val="heading 2"/>
    <w:basedOn w:val="1"/>
    <w:next w:val="1"/>
    <w:link w:val="24"/>
    <w:qFormat/>
    <w:uiPriority w:val="0"/>
    <w:pPr>
      <w:keepNext/>
      <w:keepLines/>
      <w:numPr>
        <w:ilvl w:val="1"/>
        <w:numId w:val="1"/>
      </w:numPr>
      <w:spacing w:before="120" w:after="120" w:line="360" w:lineRule="auto"/>
      <w:outlineLvl w:val="1"/>
    </w:pPr>
    <w:rPr>
      <w:b/>
      <w:bCs/>
      <w:sz w:val="30"/>
      <w:szCs w:val="32"/>
    </w:rPr>
  </w:style>
  <w:style w:type="paragraph" w:styleId="5">
    <w:name w:val="heading 3"/>
    <w:basedOn w:val="1"/>
    <w:next w:val="1"/>
    <w:link w:val="25"/>
    <w:qFormat/>
    <w:uiPriority w:val="0"/>
    <w:pPr>
      <w:keepNext/>
      <w:keepLines/>
      <w:numPr>
        <w:ilvl w:val="2"/>
        <w:numId w:val="1"/>
      </w:numPr>
      <w:spacing w:before="120" w:after="120" w:line="360" w:lineRule="auto"/>
      <w:ind w:left="0" w:firstLine="0"/>
      <w:outlineLvl w:val="2"/>
    </w:pPr>
    <w:rPr>
      <w:b/>
      <w:bCs/>
      <w:sz w:val="28"/>
      <w:szCs w:val="18"/>
    </w:rPr>
  </w:style>
  <w:style w:type="paragraph" w:styleId="6">
    <w:name w:val="heading 4"/>
    <w:basedOn w:val="1"/>
    <w:next w:val="1"/>
    <w:link w:val="26"/>
    <w:qFormat/>
    <w:uiPriority w:val="0"/>
    <w:pPr>
      <w:keepNext/>
      <w:keepLines/>
      <w:numPr>
        <w:ilvl w:val="3"/>
        <w:numId w:val="1"/>
      </w:numPr>
      <w:spacing w:before="120" w:after="120" w:line="360" w:lineRule="auto"/>
      <w:ind w:left="0" w:firstLine="0"/>
      <w:outlineLvl w:val="3"/>
    </w:pPr>
    <w:rPr>
      <w:b/>
      <w:bCs/>
      <w:sz w:val="24"/>
      <w:szCs w:val="28"/>
    </w:rPr>
  </w:style>
  <w:style w:type="paragraph" w:styleId="7">
    <w:name w:val="heading 5"/>
    <w:basedOn w:val="1"/>
    <w:next w:val="1"/>
    <w:link w:val="27"/>
    <w:unhideWhenUsed/>
    <w:qFormat/>
    <w:uiPriority w:val="0"/>
    <w:pPr>
      <w:keepNext/>
      <w:keepLines/>
      <w:numPr>
        <w:ilvl w:val="4"/>
        <w:numId w:val="1"/>
      </w:numPr>
      <w:spacing w:before="120" w:after="120" w:line="360" w:lineRule="auto"/>
      <w:ind w:left="0" w:firstLine="0"/>
      <w:outlineLvl w:val="4"/>
    </w:pPr>
    <w:rPr>
      <w:b/>
      <w:bCs/>
      <w:szCs w:val="28"/>
    </w:rPr>
  </w:style>
  <w:style w:type="paragraph" w:styleId="8">
    <w:name w:val="heading 6"/>
    <w:basedOn w:val="1"/>
    <w:next w:val="1"/>
    <w:link w:val="28"/>
    <w:unhideWhenUsed/>
    <w:qFormat/>
    <w:uiPriority w:val="0"/>
    <w:pPr>
      <w:keepNext/>
      <w:keepLines/>
      <w:numPr>
        <w:ilvl w:val="5"/>
        <w:numId w:val="1"/>
      </w:numPr>
      <w:spacing w:before="120" w:after="120" w:line="360" w:lineRule="auto"/>
      <w:outlineLvl w:val="5"/>
    </w:pPr>
    <w:rPr>
      <w:rFonts w:ascii="Cambria" w:hAnsi="Cambria"/>
      <w:b/>
      <w:bCs/>
      <w:sz w:val="24"/>
    </w:rPr>
  </w:style>
  <w:style w:type="paragraph" w:styleId="9">
    <w:name w:val="heading 7"/>
    <w:basedOn w:val="8"/>
    <w:next w:val="1"/>
    <w:link w:val="35"/>
    <w:qFormat/>
    <w:uiPriority w:val="0"/>
    <w:pPr>
      <w:numPr>
        <w:ilvl w:val="0"/>
        <w:numId w:val="0"/>
      </w:numPr>
      <w:tabs>
        <w:tab w:val="left" w:pos="1800"/>
      </w:tabs>
      <w:spacing w:before="260" w:after="260"/>
      <w:ind w:left="1265" w:hanging="1296"/>
      <w:jc w:val="left"/>
      <w:outlineLvl w:val="6"/>
    </w:pPr>
    <w:rPr>
      <w:rFonts w:ascii="Times New Roman" w:hAnsi="Times New Roman"/>
      <w:sz w:val="30"/>
      <w:szCs w:val="18"/>
    </w:rPr>
  </w:style>
  <w:style w:type="paragraph" w:styleId="10">
    <w:name w:val="heading 8"/>
    <w:basedOn w:val="9"/>
    <w:next w:val="1"/>
    <w:link w:val="36"/>
    <w:qFormat/>
    <w:uiPriority w:val="0"/>
    <w:pPr>
      <w:ind w:left="1409" w:hanging="1440"/>
      <w:outlineLvl w:val="7"/>
    </w:pPr>
  </w:style>
  <w:style w:type="paragraph" w:styleId="11">
    <w:name w:val="heading 9"/>
    <w:basedOn w:val="10"/>
    <w:next w:val="1"/>
    <w:link w:val="37"/>
    <w:qFormat/>
    <w:uiPriority w:val="0"/>
    <w:pPr>
      <w:tabs>
        <w:tab w:val="left" w:pos="2160"/>
        <w:tab w:val="clear" w:pos="1800"/>
      </w:tabs>
      <w:ind w:left="1553" w:hanging="1584"/>
      <w:outlineLvl w:val="8"/>
    </w:pPr>
  </w:style>
  <w:style w:type="character" w:default="1" w:styleId="20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首行缩进:  2 字符"/>
    <w:basedOn w:val="1"/>
    <w:qFormat/>
    <w:uiPriority w:val="0"/>
    <w:pPr>
      <w:ind w:firstLine="480"/>
    </w:pPr>
    <w:rPr>
      <w:rFonts w:ascii="思源宋体 CN Light" w:hAnsi="思源宋体 CN Light" w:cs="思源宋体 CN Light"/>
      <w:color w:val="000000"/>
      <w:szCs w:val="21"/>
    </w:rPr>
  </w:style>
  <w:style w:type="paragraph" w:styleId="12">
    <w:name w:val="Document Map"/>
    <w:basedOn w:val="1"/>
    <w:link w:val="32"/>
    <w:semiHidden/>
    <w:unhideWhenUsed/>
    <w:qFormat/>
    <w:uiPriority w:val="99"/>
    <w:rPr>
      <w:rFonts w:ascii="宋体"/>
      <w:sz w:val="18"/>
      <w:szCs w:val="18"/>
    </w:rPr>
  </w:style>
  <w:style w:type="paragraph" w:styleId="13">
    <w:name w:val="toc 3"/>
    <w:basedOn w:val="1"/>
    <w:next w:val="1"/>
    <w:unhideWhenUsed/>
    <w:qFormat/>
    <w:uiPriority w:val="39"/>
    <w:pPr>
      <w:tabs>
        <w:tab w:val="right" w:leader="dot" w:pos="8296"/>
      </w:tabs>
      <w:ind w:left="680"/>
      <w:jc w:val="left"/>
    </w:pPr>
    <w:rPr>
      <w:rFonts w:cs="Calibri"/>
      <w:iCs/>
      <w:szCs w:val="20"/>
    </w:rPr>
  </w:style>
  <w:style w:type="paragraph" w:styleId="14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15">
    <w:name w:val="footer"/>
    <w:basedOn w:val="1"/>
    <w:link w:val="3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2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unhideWhenUsed/>
    <w:qFormat/>
    <w:uiPriority w:val="39"/>
    <w:pPr>
      <w:spacing w:before="120" w:after="120"/>
      <w:ind w:left="200" w:hanging="200" w:hangingChars="200"/>
      <w:jc w:val="left"/>
    </w:pPr>
    <w:rPr>
      <w:rFonts w:cs="Calibri"/>
      <w:bCs/>
      <w:caps/>
      <w:szCs w:val="20"/>
    </w:rPr>
  </w:style>
  <w:style w:type="paragraph" w:styleId="18">
    <w:name w:val="toc 2"/>
    <w:basedOn w:val="1"/>
    <w:next w:val="1"/>
    <w:unhideWhenUsed/>
    <w:qFormat/>
    <w:uiPriority w:val="39"/>
    <w:pPr>
      <w:ind w:left="340"/>
      <w:jc w:val="left"/>
    </w:pPr>
    <w:rPr>
      <w:rFonts w:cs="Calibri"/>
      <w:smallCaps/>
      <w:szCs w:val="20"/>
    </w:rPr>
  </w:style>
  <w:style w:type="character" w:styleId="21">
    <w:name w:val="FollowedHyperlink"/>
    <w:basedOn w:val="20"/>
    <w:semiHidden/>
    <w:unhideWhenUsed/>
    <w:qFormat/>
    <w:uiPriority w:val="99"/>
    <w:rPr>
      <w:color w:val="800080" w:themeColor="followedHyperlink"/>
      <w:u w:val="single"/>
    </w:rPr>
  </w:style>
  <w:style w:type="character" w:styleId="22">
    <w:name w:val="Hyperlink"/>
    <w:basedOn w:val="20"/>
    <w:unhideWhenUsed/>
    <w:qFormat/>
    <w:uiPriority w:val="99"/>
    <w:rPr>
      <w:color w:val="0000FF"/>
      <w:u w:val="single"/>
    </w:rPr>
  </w:style>
  <w:style w:type="character" w:customStyle="1" w:styleId="23">
    <w:name w:val="标题 1 字符"/>
    <w:basedOn w:val="20"/>
    <w:link w:val="3"/>
    <w:qFormat/>
    <w:uiPriority w:val="0"/>
    <w:rPr>
      <w:rFonts w:ascii="Times New Roman" w:hAnsi="Times New Roman" w:eastAsia="宋体" w:cs="Times New Roman"/>
      <w:b/>
      <w:bCs/>
      <w:kern w:val="44"/>
      <w:sz w:val="32"/>
      <w:szCs w:val="28"/>
    </w:rPr>
  </w:style>
  <w:style w:type="character" w:customStyle="1" w:styleId="24">
    <w:name w:val="标题 2 字符"/>
    <w:basedOn w:val="20"/>
    <w:link w:val="4"/>
    <w:uiPriority w:val="0"/>
    <w:rPr>
      <w:rFonts w:ascii="Times New Roman" w:hAnsi="Times New Roman" w:eastAsia="宋体" w:cs="Times New Roman"/>
      <w:b/>
      <w:bCs/>
      <w:sz w:val="30"/>
      <w:szCs w:val="32"/>
    </w:rPr>
  </w:style>
  <w:style w:type="character" w:customStyle="1" w:styleId="25">
    <w:name w:val="标题 3 字符"/>
    <w:basedOn w:val="20"/>
    <w:link w:val="5"/>
    <w:uiPriority w:val="0"/>
    <w:rPr>
      <w:rFonts w:ascii="Times New Roman" w:hAnsi="Times New Roman" w:eastAsia="宋体" w:cs="Times New Roman"/>
      <w:b/>
      <w:bCs/>
      <w:sz w:val="28"/>
      <w:szCs w:val="18"/>
    </w:rPr>
  </w:style>
  <w:style w:type="character" w:customStyle="1" w:styleId="26">
    <w:name w:val="标题 4 字符"/>
    <w:basedOn w:val="20"/>
    <w:link w:val="6"/>
    <w:qFormat/>
    <w:uiPriority w:val="0"/>
    <w:rPr>
      <w:rFonts w:ascii="Times New Roman" w:hAnsi="Times New Roman" w:eastAsia="宋体" w:cs="Times New Roman"/>
      <w:b/>
      <w:bCs/>
      <w:sz w:val="24"/>
      <w:szCs w:val="28"/>
    </w:rPr>
  </w:style>
  <w:style w:type="character" w:customStyle="1" w:styleId="27">
    <w:name w:val="标题 5 字符"/>
    <w:basedOn w:val="20"/>
    <w:link w:val="7"/>
    <w:qFormat/>
    <w:uiPriority w:val="0"/>
    <w:rPr>
      <w:rFonts w:ascii="Times New Roman" w:hAnsi="Times New Roman" w:eastAsia="宋体" w:cs="Times New Roman"/>
      <w:b/>
      <w:bCs/>
      <w:szCs w:val="28"/>
    </w:rPr>
  </w:style>
  <w:style w:type="character" w:customStyle="1" w:styleId="28">
    <w:name w:val="标题 6 字符"/>
    <w:basedOn w:val="20"/>
    <w:link w:val="8"/>
    <w:uiPriority w:val="0"/>
    <w:rPr>
      <w:rFonts w:ascii="Cambria" w:hAnsi="Cambria" w:eastAsia="宋体" w:cs="Times New Roman"/>
      <w:b/>
      <w:bCs/>
      <w:sz w:val="24"/>
      <w:szCs w:val="24"/>
    </w:rPr>
  </w:style>
  <w:style w:type="character" w:customStyle="1" w:styleId="29">
    <w:name w:val="页眉 字符"/>
    <w:basedOn w:val="20"/>
    <w:link w:val="1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页脚 字符"/>
    <w:basedOn w:val="20"/>
    <w:link w:val="15"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31">
    <w:name w:val="Indent Normal"/>
    <w:basedOn w:val="1"/>
    <w:uiPriority w:val="0"/>
    <w:pPr>
      <w:ind w:firstLine="150" w:firstLineChars="150"/>
    </w:pPr>
    <w:rPr>
      <w:sz w:val="24"/>
    </w:rPr>
  </w:style>
  <w:style w:type="character" w:customStyle="1" w:styleId="32">
    <w:name w:val="文档结构图 字符"/>
    <w:basedOn w:val="20"/>
    <w:link w:val="12"/>
    <w:semiHidden/>
    <w:qFormat/>
    <w:uiPriority w:val="99"/>
    <w:rPr>
      <w:rFonts w:ascii="宋体" w:hAnsi="Times New Roman" w:eastAsia="宋体" w:cs="Times New Roman"/>
      <w:sz w:val="18"/>
      <w:szCs w:val="18"/>
    </w:rPr>
  </w:style>
  <w:style w:type="character" w:customStyle="1" w:styleId="33">
    <w:name w:val="批注框文本 字符"/>
    <w:basedOn w:val="20"/>
    <w:link w:val="14"/>
    <w:semiHidden/>
    <w:uiPriority w:val="99"/>
    <w:rPr>
      <w:rFonts w:ascii="Times New Roman" w:hAnsi="Times New Roman" w:eastAsia="宋体" w:cs="Times New Roman"/>
      <w:sz w:val="18"/>
      <w:szCs w:val="18"/>
    </w:rPr>
  </w:style>
  <w:style w:type="paragraph" w:styleId="34">
    <w:name w:val="List Paragraph"/>
    <w:basedOn w:val="1"/>
    <w:qFormat/>
    <w:uiPriority w:val="34"/>
    <w:pPr>
      <w:ind w:firstLine="420" w:firstLineChars="200"/>
    </w:pPr>
  </w:style>
  <w:style w:type="character" w:customStyle="1" w:styleId="35">
    <w:name w:val="标题 7 字符"/>
    <w:basedOn w:val="20"/>
    <w:link w:val="9"/>
    <w:uiPriority w:val="0"/>
    <w:rPr>
      <w:b/>
      <w:bCs/>
      <w:kern w:val="2"/>
      <w:sz w:val="30"/>
      <w:szCs w:val="18"/>
    </w:rPr>
  </w:style>
  <w:style w:type="character" w:customStyle="1" w:styleId="36">
    <w:name w:val="标题 8 字符"/>
    <w:basedOn w:val="20"/>
    <w:link w:val="10"/>
    <w:uiPriority w:val="0"/>
    <w:rPr>
      <w:b/>
      <w:bCs/>
      <w:kern w:val="2"/>
      <w:sz w:val="30"/>
      <w:szCs w:val="18"/>
    </w:rPr>
  </w:style>
  <w:style w:type="character" w:customStyle="1" w:styleId="37">
    <w:name w:val="标题 9 字符"/>
    <w:basedOn w:val="20"/>
    <w:link w:val="11"/>
    <w:uiPriority w:val="0"/>
    <w:rPr>
      <w:b/>
      <w:bCs/>
      <w:kern w:val="2"/>
      <w:sz w:val="30"/>
      <w:szCs w:val="18"/>
    </w:rPr>
  </w:style>
  <w:style w:type="paragraph" w:customStyle="1" w:styleId="38">
    <w:name w:val="1"/>
    <w:basedOn w:val="1"/>
    <w:qFormat/>
    <w:uiPriority w:val="0"/>
    <w:pPr>
      <w:ind w:firstLine="0" w:firstLineChars="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6" Type="http://schemas.openxmlformats.org/officeDocument/2006/relationships/fontTable" Target="fontTable.xml"/><Relationship Id="rId55" Type="http://schemas.openxmlformats.org/officeDocument/2006/relationships/numbering" Target="numbering.xml"/><Relationship Id="rId54" Type="http://schemas.openxmlformats.org/officeDocument/2006/relationships/image" Target="media/image49.png"/><Relationship Id="rId53" Type="http://schemas.openxmlformats.org/officeDocument/2006/relationships/image" Target="media/image48.png"/><Relationship Id="rId52" Type="http://schemas.openxmlformats.org/officeDocument/2006/relationships/image" Target="media/image47.png"/><Relationship Id="rId51" Type="http://schemas.openxmlformats.org/officeDocument/2006/relationships/image" Target="media/image46.png"/><Relationship Id="rId50" Type="http://schemas.openxmlformats.org/officeDocument/2006/relationships/image" Target="media/image45.png"/><Relationship Id="rId5" Type="http://schemas.openxmlformats.org/officeDocument/2006/relationships/theme" Target="theme/theme1.xml"/><Relationship Id="rId49" Type="http://schemas.openxmlformats.org/officeDocument/2006/relationships/image" Target="media/image44.png"/><Relationship Id="rId48" Type="http://schemas.openxmlformats.org/officeDocument/2006/relationships/image" Target="media/image43.png"/><Relationship Id="rId47" Type="http://schemas.openxmlformats.org/officeDocument/2006/relationships/image" Target="media/image42.png"/><Relationship Id="rId46" Type="http://schemas.openxmlformats.org/officeDocument/2006/relationships/image" Target="media/image41.png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footer" Target="footer1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header" Target="head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23</Pages>
  <Words>2465</Words>
  <Characters>2649</Characters>
  <Lines>22</Lines>
  <Paragraphs>6</Paragraphs>
  <TotalTime>4</TotalTime>
  <ScaleCrop>false</ScaleCrop>
  <LinksUpToDate>false</LinksUpToDate>
  <CharactersWithSpaces>2686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2014-05-07T02:25:00Z</dcterms:created>
  <dc:creator>NTKO</dc:creator>
  <cp:lastModifiedBy>NTKO</cp:lastModifiedBy>
  <dcterms:modified xsi:type="dcterms:W3CDTF">2026-09-15T02:28:06Z</dcterms:modified>
  <cp:revision>134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4DD55FB6571A4BDD8C4F32E42FA2BC82</vt:lpwstr>
  </property>
  <property fmtid="{D5CDD505-2E9C-101B-9397-08002B2CF9AE}" pid="4" name="KSOTemplateDocerSaveRecord">
    <vt:lpwstr>eyJoZGlkIjoiZjdjOGViODE0ZjY1MDg0ODIzZDlkZWU5NDQwMjE3YTUiLCJ1c2VySWQiOiIyMTA4MzkwNzcifQ==</vt:lpwstr>
  </property>
</Properties>
</file>