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741680</wp:posOffset>
            </wp:positionV>
            <wp:extent cx="1436370" cy="1436370"/>
            <wp:effectExtent l="0" t="0" r="11430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hint="default"/>
        </w:rPr>
      </w:pPr>
      <w:r>
        <w:rPr>
          <w:rFonts w:hint="eastAsia" w:ascii="思源黑体" w:eastAsia="思源黑体"/>
          <w:b/>
          <w:sz w:val="52"/>
          <w:szCs w:val="52"/>
        </w:rPr>
        <w:t>河南省公共资源“智慧交易”</w:t>
      </w:r>
      <w:r>
        <w:rPr>
          <w:rFonts w:hint="default" w:ascii="思源黑体" w:eastAsia="思源黑体"/>
          <w:b/>
          <w:sz w:val="52"/>
          <w:szCs w:val="52"/>
        </w:rPr>
        <w:t>系统</w:t>
      </w:r>
    </w:p>
    <w:p>
      <w:pPr>
        <w:ind w:firstLine="0" w:firstLineChars="0"/>
      </w:pPr>
    </w:p>
    <w:p>
      <w:pPr>
        <w:pStyle w:val="43"/>
        <w:jc w:val="center"/>
        <w:rPr>
          <w:rFonts w:hint="default" w:ascii="思源黑体" w:eastAsia="思源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" w:eastAsia="思源黑体"/>
          <w:b/>
          <w:sz w:val="52"/>
          <w:szCs w:val="52"/>
          <w:lang w:val="en-US" w:eastAsia="zh-CN"/>
        </w:rPr>
        <w:t>框架协议采购-代理机构</w:t>
      </w:r>
    </w:p>
    <w:p>
      <w:pPr>
        <w:ind w:firstLine="0" w:firstLineChars="0"/>
        <w:jc w:val="center"/>
        <w:rPr>
          <w:rFonts w:ascii="思源黑体" w:eastAsia="思源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" w:eastAsia="思源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widowControl/>
        <w:spacing w:line="360" w:lineRule="auto"/>
        <w:jc w:val="center"/>
        <w:rPr>
          <w:rFonts w:hint="eastAsia" w:eastAsia="黑体"/>
          <w:b/>
          <w:sz w:val="44"/>
          <w:szCs w:val="21"/>
        </w:rPr>
      </w:pPr>
    </w:p>
    <w:p>
      <w:pPr>
        <w:widowControl/>
        <w:spacing w:line="360" w:lineRule="auto"/>
        <w:jc w:val="center"/>
        <w:rPr>
          <w:rFonts w:hint="eastAsia" w:eastAsia="黑体"/>
          <w:b/>
          <w:sz w:val="44"/>
          <w:szCs w:val="21"/>
        </w:rPr>
      </w:pPr>
    </w:p>
    <w:p>
      <w:pPr>
        <w:widowControl/>
        <w:spacing w:line="360" w:lineRule="auto"/>
        <w:jc w:val="center"/>
        <w:rPr>
          <w:rFonts w:hint="eastAsia" w:eastAsia="黑体"/>
          <w:b/>
          <w:sz w:val="44"/>
          <w:szCs w:val="21"/>
        </w:rPr>
      </w:pPr>
    </w:p>
    <w:p>
      <w:pPr>
        <w:widowControl/>
        <w:spacing w:line="360" w:lineRule="auto"/>
        <w:jc w:val="center"/>
        <w:rPr>
          <w:rFonts w:hint="eastAsia" w:eastAsia="黑体"/>
          <w:b/>
          <w:sz w:val="44"/>
          <w:szCs w:val="21"/>
        </w:rPr>
      </w:pPr>
      <w:r>
        <w:rPr>
          <w:rFonts w:hint="eastAsia" w:eastAsia="黑体"/>
          <w:b/>
          <w:sz w:val="44"/>
          <w:szCs w:val="21"/>
        </w:rPr>
        <w:t>V</w:t>
      </w:r>
      <w:r>
        <w:rPr>
          <w:rFonts w:eastAsia="黑体"/>
          <w:b/>
          <w:sz w:val="44"/>
          <w:szCs w:val="21"/>
        </w:rPr>
        <w:t>1</w:t>
      </w:r>
      <w:r>
        <w:rPr>
          <w:rFonts w:hint="eastAsia" w:eastAsia="黑体"/>
          <w:b/>
          <w:sz w:val="44"/>
          <w:szCs w:val="21"/>
        </w:rPr>
        <w:t>.</w:t>
      </w:r>
      <w:r>
        <w:rPr>
          <w:rFonts w:eastAsia="黑体"/>
          <w:b/>
          <w:sz w:val="44"/>
          <w:szCs w:val="21"/>
        </w:rPr>
        <w:t>0</w:t>
      </w:r>
      <w:r>
        <w:rPr>
          <w:rFonts w:hint="eastAsia" w:eastAsia="黑体"/>
          <w:b/>
          <w:sz w:val="44"/>
          <w:szCs w:val="21"/>
        </w:rPr>
        <w:t xml:space="preserve">  </w:t>
      </w:r>
    </w:p>
    <w:p>
      <w:pPr>
        <w:widowControl/>
        <w:spacing w:line="360" w:lineRule="auto"/>
        <w:jc w:val="center"/>
        <w:rPr>
          <w:rFonts w:hint="eastAsia" w:eastAsia="黑体"/>
          <w:b/>
          <w:sz w:val="44"/>
          <w:szCs w:val="21"/>
        </w:rPr>
      </w:pPr>
    </w:p>
    <w:p>
      <w:pPr>
        <w:widowControl/>
        <w:spacing w:line="360" w:lineRule="auto"/>
        <w:jc w:val="both"/>
        <w:rPr>
          <w:rFonts w:eastAsia="黑体"/>
          <w:b/>
          <w:szCs w:val="21"/>
        </w:rPr>
      </w:pPr>
    </w:p>
    <w:p>
      <w:pPr>
        <w:widowControl/>
        <w:spacing w:line="360" w:lineRule="auto"/>
        <w:rPr>
          <w:rFonts w:eastAsia="黑体"/>
          <w:b/>
          <w:szCs w:val="21"/>
        </w:rPr>
      </w:pPr>
    </w:p>
    <w:p>
      <w:pPr>
        <w:widowControl/>
        <w:spacing w:line="360" w:lineRule="auto"/>
        <w:jc w:val="center"/>
        <w:rPr>
          <w:rFonts w:eastAsia="黑体"/>
          <w:b/>
          <w:szCs w:val="21"/>
        </w:rPr>
      </w:pPr>
    </w:p>
    <w:p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t>目录</w:t>
      </w:r>
    </w:p>
    <w:p>
      <w:pPr>
        <w:pStyle w:val="18"/>
        <w:tabs>
          <w:tab w:val="right" w:leader="dot" w:pos="8306"/>
        </w:tabs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_Toc6478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_Toc6478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_Toc9337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rPr>
          <w:rFonts w:hint="eastAsia"/>
        </w:rPr>
        <w:t>系统地址及登录</w:t>
      </w:r>
      <w:r>
        <w:tab/>
      </w:r>
      <w:r>
        <w:fldChar w:fldCharType="begin"/>
      </w:r>
      <w:r>
        <w:instrText xml:space="preserve"> PAGEREF _Toc9337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_Toc29991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1.1.1、 系统地址</w:t>
      </w:r>
      <w:r>
        <w:tab/>
      </w:r>
      <w:r>
        <w:fldChar w:fldCharType="begin"/>
      </w:r>
      <w:r>
        <w:instrText xml:space="preserve"> PAGEREF _Toc29991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_Toc1024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t>浏览器配置</w:t>
      </w:r>
      <w:r>
        <w:tab/>
      </w:r>
      <w:r>
        <w:fldChar w:fldCharType="begin"/>
      </w:r>
      <w:r>
        <w:instrText xml:space="preserve"> PAGEREF _Toc1024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_Toc3707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1.2.1、 </w:t>
      </w:r>
      <w:r>
        <w:t>Internet选项</w:t>
      </w:r>
      <w:r>
        <w:tab/>
      </w:r>
      <w:r>
        <w:fldChar w:fldCharType="begin"/>
      </w:r>
      <w:r>
        <w:instrText xml:space="preserve"> PAGEREF _Toc3707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_Toc23779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1.2.2、 </w:t>
      </w:r>
      <w:r>
        <w:t>关闭拦截工具</w:t>
      </w:r>
      <w:r>
        <w:tab/>
      </w:r>
      <w:r>
        <w:fldChar w:fldCharType="begin"/>
      </w:r>
      <w:r>
        <w:instrText xml:space="preserve"> PAGEREF _Toc23779 \h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_Toc12114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18"/>
          <w:vertAlign w:val="baseline"/>
        </w:rPr>
        <w:t>1.</w:t>
      </w:r>
      <w:r>
        <w:rPr>
          <w:rFonts w:hint="defaul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18"/>
          <w:vertAlign w:val="baseline"/>
        </w:rPr>
        <w:t>2</w:t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18"/>
          <w:vertAlign w:val="baseline"/>
        </w:rPr>
        <w:t>.</w:t>
      </w:r>
      <w:r>
        <w:rPr>
          <w:rFonts w:hint="defaul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18"/>
          <w:vertAlign w:val="baseline"/>
        </w:rPr>
        <w:t>3</w:t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18"/>
          <w:vertAlign w:val="baseline"/>
        </w:rPr>
        <w:t xml:space="preserve">、 </w:t>
      </w:r>
      <w:r>
        <w:rPr>
          <w:rFonts w:hint="eastAsia"/>
          <w:bCs/>
          <w:szCs w:val="18"/>
        </w:rPr>
        <w:t>设置兼容性</w:t>
      </w:r>
      <w:r>
        <w:tab/>
      </w:r>
      <w:r>
        <w:fldChar w:fldCharType="begin"/>
      </w:r>
      <w:r>
        <w:instrText xml:space="preserve"> PAGEREF _Toc12114 \h </w:instrText>
      </w:r>
      <w:r>
        <w:fldChar w:fldCharType="separate"/>
      </w:r>
      <w:r>
        <w:t>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_Toc10621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t>驱动安装说明</w:t>
      </w:r>
      <w:r>
        <w:tab/>
      </w:r>
      <w:r>
        <w:fldChar w:fldCharType="begin"/>
      </w:r>
      <w:r>
        <w:instrText xml:space="preserve"> PAGEREF _Toc10621 \h </w:instrText>
      </w:r>
      <w:r>
        <w:fldChar w:fldCharType="separate"/>
      </w:r>
      <w:r>
        <w:t>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_Toc10052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1.3.1、 驱动下载</w:t>
      </w:r>
      <w:r>
        <w:tab/>
      </w:r>
      <w:r>
        <w:fldChar w:fldCharType="begin"/>
      </w:r>
      <w:r>
        <w:instrText xml:space="preserve"> PAGEREF _Toc10052 \h </w:instrText>
      </w:r>
      <w:r>
        <w:fldChar w:fldCharType="separate"/>
      </w:r>
      <w:r>
        <w:t>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_Toc26379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1.3.2、 </w:t>
      </w:r>
      <w:r>
        <w:t>安装驱动程序</w:t>
      </w:r>
      <w:r>
        <w:tab/>
      </w:r>
      <w:r>
        <w:fldChar w:fldCharType="begin"/>
      </w:r>
      <w:r>
        <w:instrText xml:space="preserve"> PAGEREF _Toc26379 \h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_Toc17044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val="en-US" w:eastAsia="zh-CN"/>
        </w:rPr>
        <w:t>系统首页公共模块</w:t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_Toc17044 \h </w:instrText>
      </w:r>
      <w:r>
        <w:fldChar w:fldCharType="separate"/>
      </w:r>
      <w:r>
        <w:t>11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_Toc19666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登录交易</w:t>
      </w:r>
      <w:r>
        <w:rPr>
          <w:rFonts w:hint="eastAsia"/>
          <w:lang w:val="en-US" w:eastAsia="zh-CN"/>
        </w:rPr>
        <w:t>系统</w:t>
      </w:r>
      <w:r>
        <w:tab/>
      </w:r>
      <w:r>
        <w:fldChar w:fldCharType="begin"/>
      </w:r>
      <w:r>
        <w:instrText xml:space="preserve"> PAGEREF _Toc19666 \h </w:instrText>
      </w:r>
      <w:r>
        <w:fldChar w:fldCharType="separate"/>
      </w:r>
      <w:r>
        <w:t>11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_Toc20280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  <w:lang w:val="en-US" w:eastAsia="zh-CN"/>
        </w:rPr>
        <w:t>系统首页</w:t>
      </w:r>
      <w:r>
        <w:rPr>
          <w:rFonts w:hint="eastAsia"/>
        </w:rPr>
        <w:t>公共模块简介</w:t>
      </w:r>
      <w:r>
        <w:tab/>
      </w:r>
      <w:r>
        <w:fldChar w:fldCharType="begin"/>
      </w:r>
      <w:r>
        <w:instrText xml:space="preserve"> PAGEREF _Toc20280 \h </w:instrText>
      </w:r>
      <w:r>
        <w:fldChar w:fldCharType="separate"/>
      </w:r>
      <w:r>
        <w:t>12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_Toc15762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  <w:lang w:val="en-US" w:eastAsia="zh-CN"/>
        </w:rPr>
        <w:t>框架协议</w:t>
      </w:r>
      <w:r>
        <w:tab/>
      </w:r>
      <w:r>
        <w:fldChar w:fldCharType="begin"/>
      </w:r>
      <w:r>
        <w:instrText xml:space="preserve"> PAGEREF _Toc15762 \h </w:instrText>
      </w:r>
      <w:r>
        <w:fldChar w:fldCharType="separate"/>
      </w:r>
      <w:r>
        <w:t>13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_Toc18194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3.1、 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_Toc18194 \h </w:instrText>
      </w:r>
      <w:r>
        <w:fldChar w:fldCharType="separate"/>
      </w:r>
      <w:r>
        <w:t>13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_Toc19801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3.1.1、 项目注册</w:t>
      </w:r>
      <w:r>
        <w:tab/>
      </w:r>
      <w:r>
        <w:fldChar w:fldCharType="begin"/>
      </w:r>
      <w:r>
        <w:instrText xml:space="preserve"> PAGEREF _Toc19801 \h </w:instrText>
      </w:r>
      <w:r>
        <w:fldChar w:fldCharType="separate"/>
      </w:r>
      <w:r>
        <w:t>13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_Toc12509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3.2、 </w:t>
      </w:r>
      <w:r>
        <w:rPr>
          <w:rFonts w:hint="eastAsia"/>
        </w:rPr>
        <w:t>开标前</w:t>
      </w:r>
      <w:r>
        <w:tab/>
      </w:r>
      <w:r>
        <w:fldChar w:fldCharType="begin"/>
      </w:r>
      <w:r>
        <w:instrText xml:space="preserve"> PAGEREF _Toc12509 \h </w:instrText>
      </w:r>
      <w:r>
        <w:fldChar w:fldCharType="separate"/>
      </w:r>
      <w:r>
        <w:t>15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_Toc18233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3.2.1、 场地预约</w:t>
      </w:r>
      <w:r>
        <w:tab/>
      </w:r>
      <w:r>
        <w:fldChar w:fldCharType="begin"/>
      </w:r>
      <w:r>
        <w:instrText xml:space="preserve"> PAGEREF _Toc18233 \h </w:instrText>
      </w:r>
      <w:r>
        <w:fldChar w:fldCharType="separate"/>
      </w:r>
      <w:r>
        <w:t>15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_Toc5534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3.2.2、 </w:t>
      </w:r>
      <w:r>
        <w:t>场地取消</w:t>
      </w:r>
      <w:r>
        <w:tab/>
      </w:r>
      <w:r>
        <w:fldChar w:fldCharType="begin"/>
      </w:r>
      <w:r>
        <w:instrText xml:space="preserve"> PAGEREF _Toc5534 \h </w:instrText>
      </w:r>
      <w:r>
        <w:fldChar w:fldCharType="separate"/>
      </w:r>
      <w:r>
        <w:t>16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_Toc14706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3.2.3、 </w:t>
      </w:r>
      <w:r>
        <w:rPr>
          <w:rFonts w:hint="eastAsia"/>
          <w:lang w:val="en-US" w:eastAsia="zh-CN"/>
        </w:rPr>
        <w:t>征集</w:t>
      </w:r>
      <w:r>
        <w:t>公告</w:t>
      </w:r>
      <w:r>
        <w:tab/>
      </w:r>
      <w:r>
        <w:fldChar w:fldCharType="begin"/>
      </w:r>
      <w:r>
        <w:instrText xml:space="preserve"> PAGEREF _Toc14706 \h </w:instrText>
      </w:r>
      <w:r>
        <w:fldChar w:fldCharType="separate"/>
      </w:r>
      <w:r>
        <w:t>17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_Toc5793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3.2.4、 </w:t>
      </w:r>
      <w:r>
        <w:rPr>
          <w:rFonts w:hint="eastAsia"/>
          <w:lang w:val="en-US" w:eastAsia="zh-CN"/>
        </w:rPr>
        <w:t>征集</w:t>
      </w:r>
      <w:r>
        <w:t>文件</w:t>
      </w:r>
      <w:r>
        <w:tab/>
      </w:r>
      <w:r>
        <w:fldChar w:fldCharType="begin"/>
      </w:r>
      <w:r>
        <w:instrText xml:space="preserve"> PAGEREF _Toc5793 \h </w:instrText>
      </w:r>
      <w:r>
        <w:fldChar w:fldCharType="separate"/>
      </w:r>
      <w:r>
        <w:t>19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_Toc1026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3.2.5、 </w:t>
      </w:r>
      <w:r>
        <w:rPr>
          <w:rFonts w:hint="eastAsia"/>
          <w:lang w:eastAsia="zh-CN"/>
        </w:rPr>
        <w:t>征集文件</w:t>
      </w:r>
      <w:r>
        <w:t>制作</w:t>
      </w:r>
      <w:r>
        <w:tab/>
      </w:r>
      <w:r>
        <w:fldChar w:fldCharType="begin"/>
      </w:r>
      <w:r>
        <w:instrText xml:space="preserve"> PAGEREF _Toc1026 \h </w:instrText>
      </w:r>
      <w:r>
        <w:fldChar w:fldCharType="separate"/>
      </w:r>
      <w:r>
        <w:t>20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_Toc20547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3.2.6、 </w:t>
      </w:r>
      <w:r>
        <w:t>变更公告</w:t>
      </w:r>
      <w:r>
        <w:tab/>
      </w:r>
      <w:r>
        <w:fldChar w:fldCharType="begin"/>
      </w:r>
      <w:r>
        <w:instrText xml:space="preserve"> PAGEREF _Toc20547 \h </w:instrText>
      </w:r>
      <w:r>
        <w:fldChar w:fldCharType="separate"/>
      </w:r>
      <w:r>
        <w:t>24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_Toc1223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3.2.7、 答疑</w:t>
      </w:r>
      <w:r>
        <w:t>文件</w:t>
      </w:r>
      <w:r>
        <w:tab/>
      </w:r>
      <w:r>
        <w:fldChar w:fldCharType="begin"/>
      </w:r>
      <w:r>
        <w:instrText xml:space="preserve"> PAGEREF _Toc1223 \h </w:instrText>
      </w:r>
      <w:r>
        <w:fldChar w:fldCharType="separate"/>
      </w:r>
      <w:r>
        <w:t>25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_Toc22547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3.2.8、 提问查看</w:t>
      </w:r>
      <w:r>
        <w:tab/>
      </w:r>
      <w:r>
        <w:fldChar w:fldCharType="begin"/>
      </w:r>
      <w:r>
        <w:instrText xml:space="preserve"> PAGEREF _Toc22547 \h </w:instrText>
      </w:r>
      <w:r>
        <w:fldChar w:fldCharType="separate"/>
      </w:r>
      <w:r>
        <w:t>27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_Toc5522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3.2.9、 </w:t>
      </w:r>
      <w:r>
        <w:t>消息</w:t>
      </w:r>
      <w:r>
        <w:rPr>
          <w:rFonts w:hint="eastAsia"/>
        </w:rPr>
        <w:t>群发</w:t>
      </w:r>
      <w:r>
        <w:tab/>
      </w:r>
      <w:r>
        <w:fldChar w:fldCharType="begin"/>
      </w:r>
      <w:r>
        <w:instrText xml:space="preserve"> PAGEREF _Toc5522 \h </w:instrText>
      </w:r>
      <w:r>
        <w:fldChar w:fldCharType="separate"/>
      </w:r>
      <w:r>
        <w:t>28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_Toc22813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3.3、 </w:t>
      </w:r>
      <w:r>
        <w:rPr>
          <w:rFonts w:hint="eastAsia"/>
        </w:rPr>
        <w:t>开标评标</w:t>
      </w:r>
      <w:r>
        <w:tab/>
      </w:r>
      <w:r>
        <w:fldChar w:fldCharType="begin"/>
      </w:r>
      <w:r>
        <w:instrText xml:space="preserve"> PAGEREF _Toc22813 \h </w:instrText>
      </w:r>
      <w:r>
        <w:fldChar w:fldCharType="separate"/>
      </w:r>
      <w:r>
        <w:t>29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_Toc29653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3.3.1、 开标情况</w:t>
      </w:r>
      <w:r>
        <w:tab/>
      </w:r>
      <w:r>
        <w:fldChar w:fldCharType="begin"/>
      </w:r>
      <w:r>
        <w:instrText xml:space="preserve"> PAGEREF _Toc29653 \h </w:instrText>
      </w:r>
      <w:r>
        <w:fldChar w:fldCharType="separate"/>
      </w:r>
      <w:r>
        <w:t>29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_Toc10067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 xml:space="preserve">3.3.2、 </w:t>
      </w:r>
      <w:r>
        <w:t>评标情况</w:t>
      </w:r>
      <w:r>
        <w:tab/>
      </w:r>
      <w:r>
        <w:fldChar w:fldCharType="begin"/>
      </w:r>
      <w:r>
        <w:instrText xml:space="preserve"> PAGEREF _Toc10067 \h </w:instrText>
      </w:r>
      <w:r>
        <w:fldChar w:fldCharType="separate"/>
      </w:r>
      <w:r>
        <w:t>30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_Toc9946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  <w:szCs w:val="30"/>
        </w:rPr>
        <w:t xml:space="preserve">3.4、 </w:t>
      </w:r>
      <w:r>
        <w:rPr>
          <w:rFonts w:hint="eastAsia"/>
        </w:rPr>
        <w:t>开标后</w:t>
      </w:r>
      <w:r>
        <w:tab/>
      </w:r>
      <w:r>
        <w:fldChar w:fldCharType="begin"/>
      </w:r>
      <w:r>
        <w:instrText xml:space="preserve"> PAGEREF _Toc9946 \h </w:instrText>
      </w:r>
      <w:r>
        <w:fldChar w:fldCharType="separate"/>
      </w:r>
      <w:r>
        <w:t>32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_Toc11118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3.4.1、 采购</w:t>
      </w:r>
      <w:r>
        <w:t>异常</w:t>
      </w:r>
      <w:r>
        <w:tab/>
      </w:r>
      <w:r>
        <w:fldChar w:fldCharType="begin"/>
      </w:r>
      <w:r>
        <w:instrText xml:space="preserve"> PAGEREF _Toc11118 \h </w:instrText>
      </w:r>
      <w:r>
        <w:fldChar w:fldCharType="separate"/>
      </w:r>
      <w:r>
        <w:t>32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_Toc24744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3.4.2、 定标确认备案</w:t>
      </w:r>
      <w:r>
        <w:tab/>
      </w:r>
      <w:r>
        <w:fldChar w:fldCharType="begin"/>
      </w:r>
      <w:r>
        <w:instrText xml:space="preserve"> PAGEREF _Toc24744 \h </w:instrText>
      </w:r>
      <w:r>
        <w:fldChar w:fldCharType="separate"/>
      </w:r>
      <w:r>
        <w:t>35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_Toc21191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3.4.3、 结果公告</w:t>
      </w:r>
      <w:r>
        <w:tab/>
      </w:r>
      <w:r>
        <w:fldChar w:fldCharType="begin"/>
      </w:r>
      <w:r>
        <w:instrText xml:space="preserve"> PAGEREF _Toc21191 \h </w:instrText>
      </w:r>
      <w:r>
        <w:fldChar w:fldCharType="separate"/>
      </w:r>
      <w:r>
        <w:t>36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_Toc30454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3.4.4、 项目复议</w:t>
      </w:r>
      <w:r>
        <w:tab/>
      </w:r>
      <w:r>
        <w:fldChar w:fldCharType="begin"/>
      </w:r>
      <w:r>
        <w:instrText xml:space="preserve"> PAGEREF _Toc30454 \h </w:instrText>
      </w:r>
      <w:r>
        <w:fldChar w:fldCharType="separate"/>
      </w:r>
      <w:r>
        <w:t>37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_Toc19183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3.4.5、 复议场地预约</w:t>
      </w:r>
      <w:r>
        <w:tab/>
      </w:r>
      <w:r>
        <w:fldChar w:fldCharType="begin"/>
      </w:r>
      <w:r>
        <w:instrText xml:space="preserve"> PAGEREF _Toc19183 \h </w:instrText>
      </w:r>
      <w:r>
        <w:fldChar w:fldCharType="separate"/>
      </w:r>
      <w:r>
        <w:t>38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_Toc15589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/>
        </w:rPr>
        <w:t>3.4.6、 复议结果</w:t>
      </w:r>
      <w:r>
        <w:tab/>
      </w:r>
      <w:r>
        <w:fldChar w:fldCharType="begin"/>
      </w:r>
      <w:r>
        <w:instrText xml:space="preserve"> PAGEREF _Toc15589 \h </w:instrText>
      </w:r>
      <w:r>
        <w:fldChar w:fldCharType="separate"/>
      </w:r>
      <w:r>
        <w:t>40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pStyle w:val="3"/>
        <w:tabs>
          <w:tab w:val="left" w:pos="425"/>
        </w:tabs>
      </w:pPr>
      <w:bookmarkStart w:id="0" w:name="_Toc346183627"/>
      <w:bookmarkStart w:id="1" w:name="_Toc346701723"/>
      <w:bookmarkStart w:id="2" w:name="_Toc1745360961"/>
      <w:bookmarkStart w:id="3" w:name="_Toc6478"/>
      <w:r>
        <w:t>系统前期准备</w:t>
      </w:r>
      <w:bookmarkEnd w:id="0"/>
      <w:bookmarkEnd w:id="1"/>
      <w:bookmarkEnd w:id="2"/>
      <w:bookmarkEnd w:id="3"/>
    </w:p>
    <w:p>
      <w:pPr>
        <w:pStyle w:val="4"/>
      </w:pPr>
      <w:bookmarkStart w:id="4" w:name="_Toc9337"/>
      <w:bookmarkStart w:id="5" w:name="_Toc1097367773"/>
      <w:bookmarkStart w:id="6" w:name="_Toc346183628"/>
      <w:bookmarkStart w:id="7" w:name="_Toc346701724"/>
      <w:r>
        <w:rPr>
          <w:rFonts w:hint="eastAsia"/>
        </w:rPr>
        <w:t>系统地址及登录</w:t>
      </w:r>
      <w:bookmarkEnd w:id="4"/>
      <w:bookmarkEnd w:id="5"/>
    </w:p>
    <w:p>
      <w:pPr>
        <w:pStyle w:val="5"/>
      </w:pPr>
      <w:bookmarkStart w:id="8" w:name="_Toc29991"/>
      <w:bookmarkStart w:id="9" w:name="_Toc520051247"/>
      <w:r>
        <w:rPr>
          <w:rFonts w:hint="eastAsia"/>
        </w:rPr>
        <w:t>系统地址</w:t>
      </w:r>
      <w:bookmarkEnd w:id="8"/>
      <w:bookmarkEnd w:id="9"/>
    </w:p>
    <w:p>
      <w:pPr>
        <w:ind w:firstLine="435"/>
      </w:pPr>
      <w:r>
        <w:rPr>
          <w:rFonts w:hint="eastAsia"/>
          <w:lang w:val="en-US" w:eastAsia="zh-CN"/>
        </w:rPr>
        <w:t>登录</w:t>
      </w:r>
      <w:r>
        <w:rPr>
          <w:rFonts w:hint="eastAsia"/>
        </w:rPr>
        <w:t>河南省公共资源交易</w:t>
      </w:r>
      <w:r>
        <w:rPr>
          <w:rFonts w:hint="eastAsia"/>
          <w:lang w:val="en-US" w:eastAsia="zh-CN"/>
        </w:rPr>
        <w:t>中心</w:t>
      </w:r>
      <w:r>
        <w:rPr>
          <w:rFonts w:hint="eastAsia"/>
        </w:rPr>
        <w:t>网站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网址</w:t>
      </w:r>
      <w:r>
        <w:rPr>
          <w:rFonts w:hint="eastAsia"/>
        </w:rPr>
        <w:t>是：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"https://hnsggzyjy.henan.gov.cn/" </w:instrText>
      </w:r>
      <w:r>
        <w:rPr>
          <w:rFonts w:hint="eastAsia"/>
        </w:rPr>
        <w:fldChar w:fldCharType="separate"/>
      </w:r>
      <w:r>
        <w:rPr>
          <w:rStyle w:val="24"/>
          <w:rFonts w:hint="eastAsia"/>
        </w:rPr>
        <w:t>https://hnsggzyjy.henan.gov.cn/</w:t>
      </w:r>
      <w:r>
        <w:rPr>
          <w:rFonts w:hint="eastAsia"/>
        </w:rPr>
        <w:fldChar w:fldCharType="end"/>
      </w:r>
    </w:p>
    <w:p>
      <w:pPr>
        <w:ind w:firstLine="435"/>
      </w:pPr>
      <w:r>
        <w:rPr>
          <w:rFonts w:hint="eastAsia"/>
        </w:rPr>
        <w:t>市场主体</w:t>
      </w:r>
      <w:r>
        <w:rPr>
          <w:rFonts w:hint="eastAsia"/>
          <w:lang w:val="en-US" w:eastAsia="zh-CN"/>
        </w:rPr>
        <w:t>使</w:t>
      </w:r>
      <w:r>
        <w:rPr>
          <w:rFonts w:hint="eastAsia"/>
        </w:rPr>
        <w:t>用IE浏览器输入该上述网址后进入下图页面：</w:t>
      </w:r>
    </w:p>
    <w:p>
      <w:pPr>
        <w:ind w:firstLine="105" w:firstLineChars="5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172075" cy="2885440"/>
            <wp:effectExtent l="0" t="0" r="952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</w:pPr>
      <w:r>
        <w:rPr>
          <w:rFonts w:hint="eastAsia"/>
        </w:rPr>
        <w:t>然后点击“市场主体登录”，进入市场主体系统登录界面。</w:t>
      </w:r>
    </w:p>
    <w:p>
      <w:pPr>
        <w:jc w:val="center"/>
      </w:pPr>
      <w:r>
        <w:drawing>
          <wp:inline distT="0" distB="0" distL="0" distR="0">
            <wp:extent cx="5132070" cy="2242185"/>
            <wp:effectExtent l="0" t="0" r="11430" b="571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1024"/>
      <w:bookmarkStart w:id="11" w:name="_Toc1918458563"/>
      <w:r>
        <w:t>浏览器配置</w:t>
      </w:r>
      <w:bookmarkEnd w:id="10"/>
      <w:bookmarkEnd w:id="11"/>
    </w:p>
    <w:p>
      <w:pPr>
        <w:pStyle w:val="5"/>
        <w:ind w:left="1072" w:hanging="1072"/>
      </w:pPr>
      <w:bookmarkStart w:id="12" w:name="_Toc3707"/>
      <w:bookmarkStart w:id="13" w:name="_Toc957703272"/>
      <w:r>
        <w:t>Internet选项</w:t>
      </w:r>
      <w:bookmarkEnd w:id="12"/>
      <w:bookmarkEnd w:id="13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使用IE浏览器登录河南省公共资源智慧交易系统</w:t>
      </w:r>
      <w:r>
        <w:rPr>
          <w:rFonts w:ascii="宋体" w:hAnsi="宋体"/>
          <w:spacing w:val="4"/>
        </w:rPr>
        <w:t>，</w:t>
      </w:r>
      <w:r>
        <w:rPr>
          <w:rFonts w:hint="eastAsia" w:ascii="宋体" w:hAnsi="宋体"/>
          <w:spacing w:val="4"/>
        </w:rPr>
        <w:t>打开浏览器右上角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spacing w:line="360" w:lineRule="auto"/>
        <w:ind w:firstLine="420" w:firstLineChars="200"/>
        <w:jc w:val="center"/>
        <w:rPr>
          <w:spacing w:val="4"/>
        </w:rPr>
      </w:pPr>
      <w:r>
        <w:drawing>
          <wp:inline distT="0" distB="0" distL="0" distR="0">
            <wp:extent cx="3968750" cy="215011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8573" cy="21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spacing w:line="360" w:lineRule="auto"/>
        <w:ind w:firstLine="420" w:firstLineChars="200"/>
        <w:jc w:val="center"/>
        <w:rPr>
          <w:spacing w:val="4"/>
        </w:rPr>
      </w:pPr>
      <w:r>
        <w:drawing>
          <wp:inline distT="0" distB="0" distL="0" distR="0">
            <wp:extent cx="2424430" cy="345249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3567" cy="34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spacing w:line="360" w:lineRule="auto"/>
        <w:ind w:firstLine="420" w:firstLineChars="200"/>
        <w:jc w:val="center"/>
        <w:rPr>
          <w:spacing w:val="4"/>
        </w:rPr>
      </w:pPr>
      <w:r>
        <w:t xml:space="preserve"> </w:t>
      </w:r>
      <w:r>
        <w:drawing>
          <wp:inline distT="0" distB="0" distL="0" distR="0">
            <wp:extent cx="2435225" cy="3481705"/>
            <wp:effectExtent l="0" t="0" r="3175" b="444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4149" cy="34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输入系统地址，格式例如：</w:t>
      </w:r>
      <w:r>
        <w:rPr>
          <w:rFonts w:hint="eastAsia"/>
          <w:spacing w:val="4"/>
        </w:rPr>
        <w:t>https://hnsggzyjy.henan.gov.cn/</w:t>
      </w:r>
      <w:r>
        <w:rPr>
          <w:spacing w:val="4"/>
        </w:rPr>
        <w:t>，然后点击“添加”按钮完成添加，再按“关闭”按钮退出。</w:t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spacing w:line="360" w:lineRule="auto"/>
        <w:ind w:firstLine="420" w:firstLineChars="200"/>
        <w:jc w:val="center"/>
        <w:rPr>
          <w:spacing w:val="4"/>
        </w:rPr>
      </w:pPr>
      <w:r>
        <w:drawing>
          <wp:inline distT="0" distB="0" distL="0" distR="0">
            <wp:extent cx="2813685" cy="4044950"/>
            <wp:effectExtent l="0" t="0" r="571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9139" cy="40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int="eastAsia" w:ascii="宋体" w:hAnsi="宋体" w:cs="宋体"/>
          <w:spacing w:val="4"/>
        </w:rPr>
        <w:t>①</w:t>
      </w:r>
      <w:r>
        <w:rPr>
          <w:spacing w:val="4"/>
        </w:rPr>
        <w:t>会出现一个窗口，把其中的Activex控件和插件的设置全部改为启用。</w:t>
      </w:r>
    </w:p>
    <w:p>
      <w:pPr>
        <w:spacing w:line="360" w:lineRule="auto"/>
        <w:ind w:firstLine="420" w:firstLineChars="200"/>
        <w:jc w:val="center"/>
        <w:rPr>
          <w:spacing w:val="4"/>
        </w:rPr>
      </w:pPr>
      <w:r>
        <w:drawing>
          <wp:inline distT="0" distB="0" distL="0" distR="0">
            <wp:extent cx="2946400" cy="3803650"/>
            <wp:effectExtent l="0" t="0" r="6350" b="635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169" cy="38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int="eastAsia" w:ascii="宋体" w:hAnsi="宋体" w:cs="宋体"/>
          <w:spacing w:val="4"/>
        </w:rPr>
        <w:t>②</w:t>
      </w:r>
      <w:r>
        <w:rPr>
          <w:spacing w:val="4"/>
        </w:rPr>
        <w:t>文件下载设置，开放文件下载的权限：设置为启用。</w:t>
      </w:r>
    </w:p>
    <w:p>
      <w:pPr>
        <w:spacing w:line="360" w:lineRule="auto"/>
        <w:ind w:firstLine="420" w:firstLineChars="200"/>
        <w:jc w:val="center"/>
        <w:rPr>
          <w:szCs w:val="21"/>
        </w:rPr>
      </w:pPr>
      <w:r>
        <w:drawing>
          <wp:inline distT="0" distB="0" distL="0" distR="0">
            <wp:extent cx="3262630" cy="4088765"/>
            <wp:effectExtent l="0" t="0" r="0" b="69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1273" cy="41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5"/>
        <w:ind w:left="1072" w:hanging="1072"/>
      </w:pPr>
      <w:bookmarkStart w:id="14" w:name="_Toc775639050"/>
      <w:bookmarkStart w:id="15" w:name="_Toc23779"/>
      <w:r>
        <w:t>关闭拦截工具</w:t>
      </w:r>
      <w:bookmarkEnd w:id="14"/>
      <w:bookmarkEnd w:id="15"/>
    </w:p>
    <w:p>
      <w:pPr>
        <w:spacing w:line="360" w:lineRule="auto"/>
        <w:ind w:firstLine="436" w:firstLineChars="200"/>
        <w:jc w:val="left"/>
      </w:pPr>
      <w:bookmarkStart w:id="16" w:name="_Toc346183631"/>
      <w:bookmarkStart w:id="17" w:name="_Toc346701727"/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  <w:r>
        <w:t xml:space="preserve"> </w:t>
      </w:r>
    </w:p>
    <w:p>
      <w:pPr>
        <w:spacing w:line="360" w:lineRule="auto"/>
        <w:ind w:firstLine="420" w:firstLineChars="200"/>
        <w:jc w:val="center"/>
        <w:rPr>
          <w:spacing w:val="4"/>
        </w:rPr>
      </w:pPr>
      <w:r>
        <w:drawing>
          <wp:inline distT="0" distB="0" distL="0" distR="0">
            <wp:extent cx="4250055" cy="2700020"/>
            <wp:effectExtent l="0" t="0" r="0" b="508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0051" cy="270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center"/>
      </w:pPr>
      <w:r>
        <w:drawing>
          <wp:inline distT="0" distB="0" distL="0" distR="0">
            <wp:extent cx="4100195" cy="2216150"/>
            <wp:effectExtent l="0" t="0" r="0" b="0"/>
            <wp:docPr id="567" name="图片 56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5903" cy="22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0" distR="0">
            <wp:extent cx="4125595" cy="2933700"/>
            <wp:effectExtent l="0" t="0" r="8255" b="0"/>
            <wp:docPr id="475" name="图片 47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849" cy="29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-1"/>
          <w:numId w:val="0"/>
        </w:numPr>
        <w:tabs>
          <w:tab w:val="left" w:pos="567"/>
        </w:tabs>
        <w:spacing w:before="120" w:after="120" w:line="360" w:lineRule="auto"/>
        <w:ind w:left="420" w:leftChars="200" w:firstLine="0" w:firstLineChars="0"/>
        <w:jc w:val="left"/>
        <w:outlineLvl w:val="2"/>
        <w:rPr>
          <w:b/>
          <w:bCs/>
          <w:sz w:val="28"/>
          <w:szCs w:val="18"/>
        </w:rPr>
      </w:pPr>
      <w:bookmarkStart w:id="18" w:name="_Toc620649049"/>
      <w:bookmarkStart w:id="19" w:name="_Toc70266797"/>
      <w:bookmarkStart w:id="20" w:name="_Toc12114"/>
      <w:r>
        <w:rPr>
          <w:rFonts w:hint="default"/>
          <w:b/>
          <w:bCs/>
          <w:sz w:val="28"/>
          <w:szCs w:val="18"/>
        </w:rPr>
        <w:t>1.2.3</w:t>
      </w:r>
      <w:r>
        <w:rPr>
          <w:rFonts w:hint="eastAsia"/>
          <w:b/>
          <w:bCs/>
          <w:sz w:val="28"/>
          <w:szCs w:val="18"/>
        </w:rPr>
        <w:t>设置兼容性</w:t>
      </w:r>
      <w:bookmarkEnd w:id="18"/>
      <w:bookmarkEnd w:id="19"/>
      <w:bookmarkEnd w:id="20"/>
    </w:p>
    <w:p>
      <w:pPr>
        <w:spacing w:line="360" w:lineRule="auto"/>
        <w:ind w:firstLine="360" w:firstLineChars="150"/>
        <w:jc w:val="left"/>
        <w:rPr>
          <w:sz w:val="24"/>
        </w:rPr>
      </w:pPr>
      <w:r>
        <w:rPr>
          <w:rFonts w:hint="eastAsia"/>
          <w:sz w:val="24"/>
        </w:rPr>
        <w:t>点击IE菜单栏里边的工具-兼容性视图设置，如下图：</w:t>
      </w:r>
    </w:p>
    <w:p>
      <w:pPr>
        <w:widowControl/>
        <w:spacing w:line="360" w:lineRule="auto"/>
        <w:ind w:firstLine="420" w:firstLineChars="200"/>
        <w:jc w:val="center"/>
        <w:rPr>
          <w:sz w:val="24"/>
        </w:rPr>
      </w:pPr>
      <w:r>
        <w:drawing>
          <wp:inline distT="0" distB="0" distL="0" distR="0">
            <wp:extent cx="3525520" cy="21355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0802" cy="21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sz w:val="24"/>
        </w:rPr>
      </w:pPr>
      <w:r>
        <w:rPr>
          <w:rFonts w:hint="eastAsia"/>
          <w:sz w:val="24"/>
        </w:rPr>
        <w:t>将服务器地址</w:t>
      </w:r>
      <w:r>
        <w:rPr>
          <w:rFonts w:hint="eastAsia"/>
          <w:spacing w:val="4"/>
          <w:sz w:val="24"/>
        </w:rPr>
        <w:t>https://hnsggzyjy.henan.gov.cn/</w:t>
      </w:r>
      <w:r>
        <w:rPr>
          <w:rFonts w:hint="eastAsia"/>
          <w:sz w:val="24"/>
        </w:rPr>
        <w:t>添加进去即可。</w:t>
      </w:r>
      <w:bookmarkEnd w:id="16"/>
      <w:bookmarkEnd w:id="17"/>
    </w:p>
    <w:p>
      <w:pPr>
        <w:pStyle w:val="4"/>
      </w:pPr>
      <w:bookmarkStart w:id="21" w:name="_Toc2061301683"/>
      <w:bookmarkStart w:id="22" w:name="_Toc10621"/>
      <w:r>
        <w:t>驱动安装说明</w:t>
      </w:r>
      <w:bookmarkEnd w:id="6"/>
      <w:bookmarkEnd w:id="7"/>
      <w:bookmarkEnd w:id="21"/>
      <w:bookmarkEnd w:id="22"/>
    </w:p>
    <w:p>
      <w:pPr>
        <w:pStyle w:val="5"/>
      </w:pPr>
      <w:bookmarkStart w:id="23" w:name="_Toc10052"/>
      <w:bookmarkStart w:id="24" w:name="_Toc167532686"/>
      <w:r>
        <w:rPr>
          <w:rFonts w:hint="eastAsia"/>
        </w:rPr>
        <w:t>驱动下载</w:t>
      </w:r>
      <w:bookmarkEnd w:id="23"/>
      <w:bookmarkEnd w:id="24"/>
    </w:p>
    <w:p>
      <w:pPr>
        <w:ind w:left="315" w:leftChars="50" w:hanging="210" w:hangingChars="100"/>
      </w:pPr>
      <w:r>
        <w:rPr>
          <w:rFonts w:hint="eastAsia"/>
        </w:rPr>
        <w:t>在市场主体系统登录的首界面下载驱动，如下图红框处。</w:t>
      </w:r>
    </w:p>
    <w:p>
      <w:pPr>
        <w:ind w:left="315" w:leftChars="50" w:hanging="210" w:hangingChars="100"/>
        <w:jc w:val="center"/>
      </w:pPr>
      <w:r>
        <w:drawing>
          <wp:inline distT="0" distB="0" distL="114300" distR="114300">
            <wp:extent cx="5264150" cy="2556510"/>
            <wp:effectExtent l="0" t="0" r="12700" b="152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072" w:hanging="1072"/>
      </w:pPr>
      <w:bookmarkStart w:id="25" w:name="_Toc762857909"/>
      <w:bookmarkStart w:id="26" w:name="_Toc346701725"/>
      <w:bookmarkStart w:id="27" w:name="_Toc346183629"/>
      <w:bookmarkStart w:id="28" w:name="_Toc26379"/>
      <w:r>
        <w:t>安装驱动程序</w:t>
      </w:r>
      <w:bookmarkEnd w:id="25"/>
      <w:bookmarkEnd w:id="26"/>
      <w:bookmarkEnd w:id="27"/>
      <w:bookmarkEnd w:id="28"/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1、双击安装程序</w:t>
      </w:r>
      <w:r>
        <w:rPr>
          <w:rFonts w:hint="eastAsia" w:ascii="思源宋体" w:eastAsia="思源宋体"/>
        </w:rPr>
        <w:drawing>
          <wp:inline distT="0" distB="0" distL="0" distR="0">
            <wp:extent cx="715010" cy="956945"/>
            <wp:effectExtent l="0" t="0" r="889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731" cy="9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，进入安装页面。</w:t>
      </w:r>
    </w:p>
    <w:p>
      <w:pPr>
        <w:autoSpaceDE w:val="0"/>
        <w:autoSpaceDN w:val="0"/>
        <w:adjustRightInd w:val="0"/>
        <w:ind w:right="-20"/>
        <w:rPr>
          <w:rFonts w:ascii="思源宋体" w:eastAsia="思源宋体"/>
          <w:spacing w:val="4"/>
        </w:rPr>
      </w:pPr>
      <w:r>
        <w:drawing>
          <wp:inline distT="0" distB="0" distL="114300" distR="114300">
            <wp:extent cx="5278120" cy="3934460"/>
            <wp:effectExtent l="0" t="0" r="1778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注：在安装驱动之前，请确保所有浏览器均已关闭。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3、选择需要安装的目录，点击“立即安装”按钮，开始安装驱动。</w:t>
      </w:r>
    </w:p>
    <w:p>
      <w:pPr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8120" cy="396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4、驱动安装完成后，打开完成界面。</w:t>
      </w:r>
    </w:p>
    <w:p>
      <w:pPr>
        <w:jc w:val="center"/>
        <w:rPr>
          <w:rFonts w:ascii="思源宋体" w:eastAsia="思源宋体"/>
        </w:rPr>
      </w:pPr>
      <w:r>
        <w:drawing>
          <wp:inline distT="0" distB="0" distL="114300" distR="114300">
            <wp:extent cx="5273040" cy="3874135"/>
            <wp:effectExtent l="0" t="0" r="381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5、点击“完成”按钮，驱动安装成功，桌面显示图标</w:t>
      </w:r>
      <w:r>
        <w:rPr>
          <w:rFonts w:hint="eastAsia" w:ascii="思源宋体" w:eastAsia="思源宋体"/>
        </w:rPr>
        <w:drawing>
          <wp:inline distT="0" distB="0" distL="0" distR="0">
            <wp:extent cx="905510" cy="932815"/>
            <wp:effectExtent l="0" t="0" r="889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。</w:t>
      </w:r>
    </w:p>
    <w:p>
      <w:pPr>
        <w:pStyle w:val="34"/>
        <w:spacing w:line="360" w:lineRule="auto"/>
        <w:ind w:firstLine="0" w:firstLineChars="0"/>
        <w:rPr>
          <w:b/>
          <w:spacing w:val="4"/>
        </w:rPr>
      </w:pPr>
    </w:p>
    <w:p>
      <w:pPr>
        <w:pStyle w:val="3"/>
        <w:tabs>
          <w:tab w:val="left" w:pos="425"/>
        </w:tabs>
        <w:ind w:left="425"/>
      </w:pPr>
      <w:bookmarkStart w:id="29" w:name="_Toc17044"/>
      <w:bookmarkStart w:id="30" w:name="_Toc387137469"/>
      <w:bookmarkStart w:id="31" w:name="_Toc280807115"/>
      <w:r>
        <w:rPr>
          <w:rFonts w:hint="eastAsia"/>
          <w:lang w:val="en-US" w:eastAsia="zh-CN"/>
        </w:rPr>
        <w:t>系统首页公共模块</w:t>
      </w:r>
      <w:r>
        <w:rPr>
          <w:rFonts w:hint="eastAsia"/>
        </w:rPr>
        <w:t>概述</w:t>
      </w:r>
      <w:bookmarkEnd w:id="29"/>
      <w:bookmarkEnd w:id="30"/>
      <w:bookmarkEnd w:id="31"/>
    </w:p>
    <w:p>
      <w:pPr>
        <w:pStyle w:val="4"/>
        <w:tabs>
          <w:tab w:val="left" w:pos="567"/>
        </w:tabs>
        <w:ind w:firstLine="0"/>
        <w:jc w:val="left"/>
      </w:pPr>
      <w:bookmarkStart w:id="32" w:name="_Toc387137470"/>
      <w:bookmarkStart w:id="33" w:name="_Toc1169769223"/>
      <w:bookmarkStart w:id="34" w:name="_Toc19666"/>
      <w:r>
        <w:rPr>
          <w:rFonts w:hint="eastAsia"/>
        </w:rPr>
        <w:t>登录交易</w:t>
      </w:r>
      <w:bookmarkEnd w:id="32"/>
      <w:r>
        <w:rPr>
          <w:rFonts w:hint="eastAsia"/>
          <w:lang w:val="en-US" w:eastAsia="zh-CN"/>
        </w:rPr>
        <w:t>系统</w:t>
      </w:r>
      <w:bookmarkEnd w:id="33"/>
      <w:bookmarkEnd w:id="34"/>
    </w:p>
    <w:p>
      <w:pPr>
        <w:ind w:firstLine="421" w:firstLineChars="200"/>
        <w:rPr>
          <w:b/>
        </w:rPr>
      </w:pPr>
      <w:r>
        <w:rPr>
          <w:rFonts w:hint="eastAsia"/>
          <w:b/>
        </w:rPr>
        <w:t>前提条件：</w:t>
      </w:r>
    </w:p>
    <w:p>
      <w:r>
        <w:rPr>
          <w:rFonts w:hint="eastAsia"/>
        </w:rPr>
        <w:t>1、</w:t>
      </w:r>
      <w:r>
        <w:rPr>
          <w:rFonts w:hint="eastAsia"/>
          <w:lang w:val="en-US" w:eastAsia="zh-CN"/>
        </w:rPr>
        <w:t>代理机构</w:t>
      </w:r>
      <w:r>
        <w:rPr>
          <w:rFonts w:hint="eastAsia"/>
        </w:rPr>
        <w:t>已注册且办理了</w:t>
      </w:r>
      <w:r>
        <w:rPr>
          <w:rFonts w:hint="eastAsia"/>
          <w:lang w:val="en-US" w:eastAsia="zh-CN"/>
        </w:rPr>
        <w:t>移动CA或实体CA</w:t>
      </w:r>
      <w:r>
        <w:rPr>
          <w:rFonts w:hint="eastAsia"/>
        </w:rPr>
        <w:t>，并且已在</w:t>
      </w:r>
      <w:r>
        <w:rPr>
          <w:rFonts w:hint="eastAsia"/>
          <w:lang w:val="en-US" w:eastAsia="zh-CN"/>
        </w:rPr>
        <w:t>河南省公共资源交易</w:t>
      </w:r>
      <w:r>
        <w:rPr>
          <w:rFonts w:hint="eastAsia"/>
        </w:rPr>
        <w:t>中心激活。</w:t>
      </w:r>
    </w:p>
    <w:p>
      <w:r>
        <w:rPr>
          <w:rFonts w:hint="eastAsia"/>
        </w:rPr>
        <w:t>2、</w:t>
      </w:r>
      <w:r>
        <w:rPr>
          <w:rFonts w:hint="eastAsia"/>
          <w:lang w:val="en-US" w:eastAsia="zh-CN"/>
        </w:rPr>
        <w:t>代理机构完善了基本信息录入，并提交审核，自动审核通过</w:t>
      </w:r>
      <w:r>
        <w:rPr>
          <w:rFonts w:hint="eastAsia"/>
        </w:rPr>
        <w:t>。</w:t>
      </w:r>
    </w:p>
    <w:p>
      <w:pPr>
        <w:ind w:firstLine="421" w:firstLineChars="200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1、选择</w:t>
      </w:r>
      <w:r>
        <w:rPr>
          <w:rFonts w:hint="eastAsia"/>
          <w:lang w:val="en-US" w:eastAsia="zh-CN"/>
        </w:rPr>
        <w:t>移动CA扫码或者</w:t>
      </w:r>
      <w:r>
        <w:rPr>
          <w:rFonts w:hint="eastAsia"/>
        </w:rPr>
        <w:t>证书key登录，输入证书密码，点击“登录”。</w:t>
      </w:r>
    </w:p>
    <w:p>
      <w:r>
        <w:rPr>
          <w:rFonts w:hint="eastAsia"/>
        </w:rPr>
        <w:t>2、成功登录后，可以进入</w:t>
      </w:r>
      <w:r>
        <w:rPr>
          <w:rFonts w:hint="eastAsia"/>
          <w:lang w:val="en-US" w:eastAsia="zh-CN"/>
        </w:rPr>
        <w:t>河南省交易系统</w:t>
      </w:r>
      <w:r>
        <w:rPr>
          <w:rFonts w:hint="eastAsia"/>
        </w:rPr>
        <w:t>，如下图：</w:t>
      </w:r>
    </w:p>
    <w:p>
      <w:r>
        <w:drawing>
          <wp:inline distT="0" distB="0" distL="0" distR="0">
            <wp:extent cx="5274310" cy="35610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56200" cy="2539365"/>
            <wp:effectExtent l="0" t="0" r="6350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ind w:firstLine="0"/>
        <w:jc w:val="left"/>
      </w:pPr>
      <w:bookmarkStart w:id="35" w:name="_Toc20280"/>
      <w:bookmarkStart w:id="36" w:name="_Toc978946352"/>
      <w:r>
        <w:rPr>
          <w:rFonts w:hint="eastAsia"/>
          <w:lang w:val="en-US" w:eastAsia="zh-CN"/>
        </w:rPr>
        <w:t>系统首页</w:t>
      </w:r>
      <w:r>
        <w:rPr>
          <w:rFonts w:hint="eastAsia"/>
        </w:rPr>
        <w:t>公共模块简介</w:t>
      </w:r>
      <w:bookmarkEnd w:id="35"/>
      <w:bookmarkEnd w:id="36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pPr>
        <w:pStyle w:val="37"/>
        <w:numPr>
          <w:ilvl w:val="0"/>
          <w:numId w:val="2"/>
        </w:numPr>
        <w:ind w:firstLineChars="0"/>
      </w:pPr>
      <w:r>
        <w:rPr>
          <w:rFonts w:hint="eastAsia"/>
        </w:rPr>
        <w:t>为业务菜单模块，对应下图中的1</w:t>
      </w:r>
    </w:p>
    <w:p>
      <w:pPr>
        <w:pStyle w:val="37"/>
        <w:numPr>
          <w:ilvl w:val="0"/>
          <w:numId w:val="2"/>
        </w:numPr>
        <w:ind w:firstLineChars="0"/>
      </w:pPr>
      <w:r>
        <w:rPr>
          <w:rFonts w:hint="eastAsia"/>
        </w:rPr>
        <w:t>为待办及通知消息，对应下图中的2，</w:t>
      </w:r>
    </w:p>
    <w:p>
      <w:pPr>
        <w:pStyle w:val="37"/>
        <w:numPr>
          <w:ilvl w:val="0"/>
          <w:numId w:val="2"/>
        </w:numPr>
        <w:ind w:firstLineChars="0"/>
      </w:pPr>
      <w:r>
        <w:rPr>
          <w:rFonts w:hint="eastAsia"/>
        </w:rPr>
        <w:t>日历，对应下图中的3</w:t>
      </w:r>
    </w:p>
    <w:p>
      <w:pPr>
        <w:pStyle w:val="37"/>
        <w:numPr>
          <w:ilvl w:val="0"/>
          <w:numId w:val="2"/>
        </w:numPr>
        <w:ind w:firstLineChars="0"/>
      </w:pPr>
      <w:r>
        <w:rPr>
          <w:rFonts w:hint="eastAsia"/>
        </w:rPr>
        <w:t>今日开标项目详情，对应下图中的4</w:t>
      </w:r>
    </w:p>
    <w:p>
      <w:pPr>
        <w:pStyle w:val="37"/>
        <w:numPr>
          <w:ilvl w:val="0"/>
          <w:numId w:val="2"/>
        </w:numPr>
        <w:ind w:firstLineChars="0"/>
      </w:pPr>
      <w:r>
        <w:rPr>
          <w:rFonts w:hint="eastAsia"/>
        </w:rPr>
        <w:t>身份切换等个人信息操作菜单，对应下图中的5</w:t>
      </w:r>
    </w:p>
    <w:p>
      <w:pPr>
        <w:pStyle w:val="37"/>
        <w:numPr>
          <w:ilvl w:val="0"/>
          <w:numId w:val="2"/>
        </w:numPr>
        <w:ind w:firstLineChars="0"/>
      </w:pPr>
      <w:r>
        <w:rPr>
          <w:rFonts w:hint="eastAsia"/>
        </w:rPr>
        <w:t>通知公告栏目，对应下图中的6</w:t>
      </w:r>
    </w:p>
    <w:p>
      <w:pPr>
        <w:pStyle w:val="37"/>
        <w:numPr>
          <w:ilvl w:val="0"/>
          <w:numId w:val="2"/>
        </w:numPr>
        <w:ind w:firstLineChars="0"/>
      </w:pPr>
      <w:r>
        <w:rPr>
          <w:rFonts w:hint="eastAsia"/>
        </w:rPr>
        <w:t>项目工作台，立项并审核通过的项目均可在工作台中进行业务操作，对应下图中的7</w:t>
      </w:r>
    </w:p>
    <w:p>
      <w:pPr>
        <w:pStyle w:val="37"/>
        <w:widowControl w:val="0"/>
        <w:numPr>
          <w:ilvl w:val="0"/>
          <w:numId w:val="0"/>
        </w:numPr>
        <w:jc w:val="both"/>
      </w:pPr>
    </w:p>
    <w:p>
      <w:pPr>
        <w:widowControl/>
        <w:jc w:val="left"/>
      </w:pPr>
      <w:r>
        <w:drawing>
          <wp:inline distT="0" distB="0" distL="0" distR="0">
            <wp:extent cx="5274310" cy="2301875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4207510" cy="1691005"/>
            <wp:effectExtent l="0" t="0" r="0" b="0"/>
            <wp:docPr id="54" name="图片 5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28870" cy="16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25"/>
        </w:tabs>
        <w:ind w:firstLine="0"/>
        <w:jc w:val="left"/>
      </w:pPr>
      <w:bookmarkStart w:id="37" w:name="_Toc15762"/>
      <w:bookmarkStart w:id="38" w:name="_Toc1574321330"/>
      <w:r>
        <w:rPr>
          <w:rFonts w:hint="eastAsia"/>
          <w:lang w:val="en-US" w:eastAsia="zh-CN"/>
        </w:rPr>
        <w:t>框架协议</w:t>
      </w:r>
      <w:bookmarkEnd w:id="37"/>
      <w:bookmarkEnd w:id="38"/>
    </w:p>
    <w:p>
      <w:pPr>
        <w:pStyle w:val="4"/>
      </w:pPr>
      <w:bookmarkStart w:id="39" w:name="_Toc18194"/>
      <w:bookmarkStart w:id="40" w:name="_Toc1931646963"/>
      <w:r>
        <w:rPr>
          <w:rFonts w:hint="eastAsia"/>
          <w:lang w:val="en-US" w:eastAsia="zh-CN"/>
        </w:rPr>
        <w:t>项目</w:t>
      </w:r>
      <w:r>
        <w:rPr>
          <w:rFonts w:hint="eastAsia"/>
        </w:rPr>
        <w:t>注册</w:t>
      </w:r>
      <w:bookmarkEnd w:id="39"/>
      <w:bookmarkEnd w:id="40"/>
    </w:p>
    <w:p>
      <w:pPr>
        <w:pStyle w:val="5"/>
      </w:pPr>
      <w:bookmarkStart w:id="41" w:name="_Toc19801"/>
      <w:bookmarkStart w:id="42" w:name="_Toc80424166"/>
      <w:r>
        <w:rPr>
          <w:rFonts w:hint="eastAsia"/>
        </w:rPr>
        <w:t>项目注册</w:t>
      </w:r>
      <w:bookmarkEnd w:id="41"/>
      <w:bookmarkEnd w:id="4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省财政厅推送项目，已推送采购计划且匹配成功。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采购代理新增项目注册，挑选采购计划，划分分包完善项目注册信息。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框架协议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项目管理</w:t>
      </w:r>
      <w:r>
        <w:rPr>
          <w:rFonts w:hint="eastAsia"/>
        </w:rPr>
        <w:t>—项目注册，点击“新建项目”，如下图：</w:t>
      </w:r>
    </w:p>
    <w:p>
      <w:pPr>
        <w:jc w:val="center"/>
      </w:pPr>
      <w:r>
        <w:drawing>
          <wp:inline distT="0" distB="0" distL="114300" distR="114300">
            <wp:extent cx="5011420" cy="2475230"/>
            <wp:effectExtent l="0" t="0" r="1778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Chars="0"/>
      </w:pPr>
      <w:r>
        <w:rPr>
          <w:rFonts w:hint="eastAsia"/>
        </w:rPr>
        <w:t>进入项目注册页面，点击“检索”按钮选择采购计划，点击“确认选择”按钮，如下图：</w:t>
      </w:r>
    </w:p>
    <w:p>
      <w:pPr>
        <w:jc w:val="center"/>
      </w:pPr>
      <w:r>
        <w:drawing>
          <wp:inline distT="0" distB="0" distL="114300" distR="114300">
            <wp:extent cx="5277485" cy="1741170"/>
            <wp:effectExtent l="0" t="0" r="18415" b="1143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06320"/>
            <wp:effectExtent l="0" t="0" r="8255" b="1778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3、自动获取采购计划中的项目信息，部分信息需手动录入,如下图：</w:t>
      </w:r>
    </w:p>
    <w:p>
      <w:r>
        <w:drawing>
          <wp:inline distT="0" distB="0" distL="114300" distR="114300">
            <wp:extent cx="5258435" cy="2559685"/>
            <wp:effectExtent l="0" t="0" r="18415" b="1206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、点击“添加分包”按钮，可划分分包信息，如下图：</w:t>
      </w:r>
    </w:p>
    <w:p>
      <w:r>
        <w:drawing>
          <wp:inline distT="0" distB="0" distL="0" distR="0">
            <wp:extent cx="5274310" cy="1859915"/>
            <wp:effectExtent l="0" t="0" r="0" b="0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55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新增分包页面，可输入分包名称、预算总价、采购目录、分包内容等信息，如下图：</w:t>
      </w:r>
    </w:p>
    <w:p>
      <w:pPr>
        <w:rPr>
          <w:color w:val="FF0000"/>
        </w:rPr>
      </w:pPr>
      <w:r>
        <w:drawing>
          <wp:inline distT="0" distB="0" distL="114300" distR="114300">
            <wp:extent cx="5237480" cy="2318385"/>
            <wp:effectExtent l="0" t="0" r="1270" b="571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t>5</w:t>
      </w:r>
      <w:r>
        <w:rPr>
          <w:rFonts w:hint="eastAsia"/>
        </w:rPr>
        <w:t>、分包添加完毕后，可以提交信息</w:t>
      </w:r>
      <w:r>
        <w:rPr>
          <w:rFonts w:hint="eastAsia"/>
          <w:lang w:val="en-US" w:eastAsia="zh-CN"/>
        </w:rPr>
        <w:t>系统自动审核</w:t>
      </w:r>
      <w:r>
        <w:rPr>
          <w:rFonts w:hint="eastAsia"/>
        </w:rPr>
        <w:t>。</w:t>
      </w:r>
      <w:r>
        <w:rPr>
          <w:rFonts w:hint="eastAsia" w:asciiTheme="minorEastAsia" w:hAnsiTheme="minorEastAsia" w:eastAsiaTheme="minorEastAsia"/>
          <w:b/>
          <w:color w:val="FF0000"/>
          <w:spacing w:val="4"/>
        </w:rPr>
        <w:t>分包名称建议采用“项目名称+包名称”方式进行命名，以方便供应商查找要报名和投标的项目。</w:t>
      </w:r>
    </w:p>
    <w:p>
      <w:pPr>
        <w:pStyle w:val="4"/>
      </w:pPr>
      <w:bookmarkStart w:id="43" w:name="_Toc1073088811"/>
      <w:bookmarkStart w:id="44" w:name="_Toc12509"/>
      <w:r>
        <w:rPr>
          <w:rFonts w:hint="eastAsia"/>
        </w:rPr>
        <w:t>开标前</w:t>
      </w:r>
      <w:bookmarkEnd w:id="43"/>
      <w:bookmarkEnd w:id="44"/>
    </w:p>
    <w:p>
      <w:pPr>
        <w:pStyle w:val="5"/>
      </w:pPr>
      <w:bookmarkStart w:id="45" w:name="_Toc18233"/>
      <w:bookmarkStart w:id="46" w:name="_Toc767579249"/>
      <w:r>
        <w:rPr>
          <w:rFonts w:hint="eastAsia"/>
        </w:rPr>
        <w:t>场地预约</w:t>
      </w:r>
      <w:bookmarkEnd w:id="45"/>
      <w:bookmarkEnd w:id="4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项目注册已审核通过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预约开评标场地、时间。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4"/>
        </w:numPr>
        <w:ind w:firstLineChars="0"/>
      </w:pPr>
      <w:r>
        <w:rPr>
          <w:rFonts w:hint="eastAsia"/>
        </w:rPr>
        <w:t>点击页面“场地预约”按钮，再点击“新增开标场地”按钮，如下图：</w:t>
      </w:r>
      <w:bookmarkStart w:id="83" w:name="_GoBack"/>
      <w:bookmarkEnd w:id="83"/>
    </w:p>
    <w:p>
      <w:pPr>
        <w:widowControl/>
        <w:jc w:val="left"/>
      </w:pPr>
      <w:r>
        <w:drawing>
          <wp:inline distT="0" distB="0" distL="114300" distR="114300">
            <wp:extent cx="5231765" cy="2584450"/>
            <wp:effectExtent l="0" t="0" r="698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2、进入挑选标段（包）页面，选择对应标段，再点击“确认选择”按钮，如下图：</w:t>
      </w:r>
      <w:r>
        <w:t xml:space="preserve"> </w:t>
      </w:r>
      <w:r>
        <w:drawing>
          <wp:inline distT="0" distB="0" distL="114300" distR="114300">
            <wp:extent cx="5267325" cy="2528570"/>
            <wp:effectExtent l="0" t="0" r="9525" b="508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</w:t>
      </w:r>
      <w:r>
        <w:rPr>
          <w:rFonts w:hint="eastAsia"/>
          <w:lang w:eastAsia="zh-CN"/>
        </w:rPr>
        <w:t>新增</w:t>
      </w:r>
      <w:r>
        <w:rPr>
          <w:rFonts w:hint="eastAsia"/>
        </w:rPr>
        <w:t>开评标场地预约页面，选择开标时间</w:t>
      </w:r>
      <w:r>
        <w:rPr>
          <w:rFonts w:hint="eastAsia"/>
          <w:lang w:eastAsia="zh-CN"/>
        </w:rPr>
        <w:t>、评标时间、预计评标结束时间</w:t>
      </w:r>
      <w:r>
        <w:rPr>
          <w:rFonts w:hint="eastAsia"/>
        </w:rPr>
        <w:t>，填写抽取专家终端及专家</w:t>
      </w:r>
      <w:r>
        <w:rPr>
          <w:rFonts w:hint="eastAsia"/>
          <w:lang w:eastAsia="zh-CN"/>
        </w:rPr>
        <w:t>抽取</w:t>
      </w:r>
      <w:r>
        <w:rPr>
          <w:rFonts w:hint="eastAsia"/>
        </w:rPr>
        <w:t>人数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联系人等信息，点“提交信息”，系统自动安排开评标场地。</w:t>
      </w:r>
    </w:p>
    <w:p>
      <w:r>
        <w:drawing>
          <wp:inline distT="0" distB="0" distL="0" distR="0">
            <wp:extent cx="5274310" cy="2621915"/>
            <wp:effectExtent l="0" t="0" r="0" b="0"/>
            <wp:docPr id="555" name="图片 555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图片 555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7" w:name="_Toc708071218"/>
      <w:bookmarkStart w:id="48" w:name="_Toc5534"/>
      <w:r>
        <w:t>场地取消</w:t>
      </w:r>
      <w:bookmarkEnd w:id="47"/>
      <w:bookmarkEnd w:id="4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开评标场地已预约。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取消已自动安排的场地。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5"/>
        </w:numPr>
        <w:ind w:left="0" w:firstLine="0" w:firstLineChars="0"/>
      </w:pPr>
      <w:r>
        <w:rPr>
          <w:rFonts w:hint="eastAsia"/>
        </w:rPr>
        <w:t>点击“新增场地预约取消”按钮，进入挑选标段列表，如下图：</w:t>
      </w:r>
    </w:p>
    <w:p>
      <w:r>
        <w:drawing>
          <wp:inline distT="0" distB="0" distL="114300" distR="114300">
            <wp:extent cx="5226050" cy="2589530"/>
            <wp:effectExtent l="0" t="0" r="1270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"/>
        </w:numPr>
        <w:ind w:left="0" w:firstLine="0" w:firstLineChars="0"/>
      </w:pPr>
      <w:r>
        <w:rPr>
          <w:rFonts w:hint="eastAsia"/>
        </w:rPr>
        <w:t>挑选要取消场地的项目进入详细页面，填写取消原因，并提交审核。系统自动取消场地。</w:t>
      </w:r>
    </w:p>
    <w:p>
      <w:r>
        <w:drawing>
          <wp:inline distT="0" distB="0" distL="0" distR="0">
            <wp:extent cx="5274310" cy="2188845"/>
            <wp:effectExtent l="0" t="0" r="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特别提示：场地取消后，需从“场地预约”流程重新预约。</w:t>
      </w:r>
    </w:p>
    <w:p>
      <w:pPr>
        <w:pStyle w:val="5"/>
      </w:pPr>
      <w:bookmarkStart w:id="49" w:name="_Toc14706"/>
      <w:bookmarkStart w:id="50" w:name="_Toc68287529"/>
      <w:r>
        <w:rPr>
          <w:rFonts w:hint="eastAsia"/>
          <w:lang w:val="en-US" w:eastAsia="zh-CN"/>
        </w:rPr>
        <w:t>征集</w:t>
      </w:r>
      <w:r>
        <w:t>公告</w:t>
      </w:r>
      <w:bookmarkEnd w:id="49"/>
      <w:bookmarkEnd w:id="5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项目注册完成。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编制</w:t>
      </w:r>
      <w:r>
        <w:rPr>
          <w:rFonts w:hint="eastAsia"/>
          <w:lang w:val="en-US" w:eastAsia="zh-CN"/>
        </w:rPr>
        <w:t>征集</w:t>
      </w:r>
      <w:r>
        <w:rPr>
          <w:rFonts w:hint="eastAsia"/>
        </w:rPr>
        <w:t>公告，发布</w:t>
      </w:r>
      <w:r>
        <w:rPr>
          <w:rFonts w:hint="eastAsia"/>
          <w:lang w:eastAsia="zh-CN"/>
        </w:rPr>
        <w:t>征集公告</w:t>
      </w:r>
      <w:r>
        <w:rPr>
          <w:rFonts w:hint="eastAsia"/>
        </w:rPr>
        <w:t>至网站。</w:t>
      </w:r>
    </w:p>
    <w:p>
      <w:pPr>
        <w:ind w:firstLine="422"/>
      </w:pPr>
      <w:r>
        <w:rPr>
          <w:rFonts w:hint="eastAsia"/>
        </w:rPr>
        <w:t>注意：</w:t>
      </w:r>
      <w:r>
        <w:rPr>
          <w:rFonts w:hint="eastAsia"/>
          <w:b/>
        </w:rPr>
        <w:t>省财政厅推送项目</w:t>
      </w:r>
      <w:r>
        <w:rPr>
          <w:rFonts w:hint="eastAsia"/>
        </w:rPr>
        <w:t>，</w:t>
      </w:r>
      <w:r>
        <w:rPr>
          <w:rFonts w:hint="eastAsia"/>
          <w:lang w:eastAsia="zh-CN"/>
        </w:rPr>
        <w:t>征集公告</w:t>
      </w:r>
      <w:r>
        <w:rPr>
          <w:rFonts w:hint="eastAsia"/>
        </w:rPr>
        <w:t>在省政府采购网发布，自动推送到省交易中心网站。（采购代理新增</w:t>
      </w:r>
      <w:r>
        <w:rPr>
          <w:rFonts w:hint="eastAsia"/>
          <w:lang w:eastAsia="zh-CN"/>
        </w:rPr>
        <w:t>征集公告</w:t>
      </w:r>
      <w:r>
        <w:rPr>
          <w:rFonts w:hint="eastAsia"/>
        </w:rPr>
        <w:t>挑选不到省财政厅推送的项目）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6"/>
        </w:numPr>
        <w:spacing w:line="360" w:lineRule="auto"/>
        <w:ind w:left="0" w:firstLine="0" w:firstLineChars="0"/>
        <w:jc w:val="left"/>
      </w:pPr>
      <w:r>
        <w:rPr>
          <w:rFonts w:hint="eastAsia"/>
        </w:rPr>
        <w:t>点击“</w:t>
      </w:r>
      <w:r>
        <w:rPr>
          <w:rFonts w:hint="eastAsia"/>
          <w:lang w:eastAsia="zh-CN"/>
        </w:rPr>
        <w:t>征集公告</w:t>
      </w:r>
      <w:r>
        <w:rPr>
          <w:rFonts w:hint="eastAsia"/>
        </w:rPr>
        <w:t>”按钮，进入</w:t>
      </w:r>
      <w:r>
        <w:rPr>
          <w:rFonts w:hint="eastAsia"/>
          <w:lang w:eastAsia="zh-CN"/>
        </w:rPr>
        <w:t>征集公告</w:t>
      </w:r>
      <w:r>
        <w:rPr>
          <w:rFonts w:hint="eastAsia"/>
        </w:rPr>
        <w:t>列表页，如下图：</w:t>
      </w:r>
    </w:p>
    <w:p>
      <w:pPr>
        <w:widowControl/>
        <w:jc w:val="left"/>
      </w:pPr>
      <w:r>
        <w:drawing>
          <wp:inline distT="0" distB="0" distL="114300" distR="114300">
            <wp:extent cx="5222240" cy="2580640"/>
            <wp:effectExtent l="0" t="0" r="16510" b="1016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6"/>
        </w:numPr>
        <w:spacing w:line="360" w:lineRule="auto"/>
        <w:ind w:left="0" w:firstLine="0" w:firstLineChars="0"/>
        <w:jc w:val="left"/>
        <w:rPr>
          <w:rFonts w:hint="eastAsia"/>
        </w:rPr>
      </w:pPr>
      <w:r>
        <w:rPr>
          <w:rFonts w:hint="eastAsia"/>
        </w:rPr>
        <w:t>点击“新增交易公告”按钮，选择对应标段，点击“确认选择”按钮，如下图：</w:t>
      </w:r>
    </w:p>
    <w:p>
      <w:r>
        <w:drawing>
          <wp:inline distT="0" distB="0" distL="114300" distR="114300">
            <wp:extent cx="5267325" cy="2528570"/>
            <wp:effectExtent l="0" t="0" r="9525" b="508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3、填写公告内容完成后，点击“提交信息”按钮，如下图：</w:t>
      </w:r>
    </w:p>
    <w:p>
      <w:r>
        <w:drawing>
          <wp:inline distT="0" distB="0" distL="0" distR="0">
            <wp:extent cx="5274310" cy="2275840"/>
            <wp:effectExtent l="0" t="0" r="0" b="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</w:t>
      </w:r>
      <w:r>
        <w:rPr>
          <w:rFonts w:hint="eastAsia"/>
          <w:lang w:val="en-US" w:eastAsia="zh-CN"/>
        </w:rPr>
        <w:t>征集</w:t>
      </w:r>
      <w:r>
        <w:rPr>
          <w:rFonts w:hint="eastAsia"/>
        </w:rPr>
        <w:t>公告签章，并点击“提交信息”按钮，提交审核。</w:t>
      </w:r>
    </w:p>
    <w:p/>
    <w:p>
      <w:pPr>
        <w:pStyle w:val="5"/>
      </w:pPr>
      <w:bookmarkStart w:id="51" w:name="_Toc5793"/>
      <w:bookmarkStart w:id="52" w:name="_Toc809817979"/>
      <w:r>
        <w:rPr>
          <w:rFonts w:hint="eastAsia"/>
          <w:lang w:val="en-US" w:eastAsia="zh-CN"/>
        </w:rPr>
        <w:t>征集</w:t>
      </w:r>
      <w:r>
        <w:t>文件</w:t>
      </w:r>
      <w:bookmarkEnd w:id="51"/>
      <w:bookmarkEnd w:id="5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eastAsia="zh-CN"/>
        </w:rPr>
        <w:t>征集公告</w:t>
      </w:r>
      <w:r>
        <w:rPr>
          <w:rFonts w:hint="eastAsia"/>
        </w:rPr>
        <w:t>已审核通过。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备案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7"/>
        </w:numPr>
        <w:ind w:firstLineChars="0"/>
      </w:pPr>
      <w:r>
        <w:rPr>
          <w:rFonts w:hint="eastAsia"/>
        </w:rPr>
        <w:t>点击“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”按钮，再点击“新增交易文件”，如下图：</w:t>
      </w:r>
    </w:p>
    <w:p>
      <w:pPr>
        <w:widowControl/>
        <w:jc w:val="left"/>
      </w:pPr>
      <w:r>
        <w:drawing>
          <wp:inline distT="0" distB="0" distL="114300" distR="114300">
            <wp:extent cx="5197475" cy="2561590"/>
            <wp:effectExtent l="0" t="0" r="3175" b="1016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2、打开挑选分包页面，选择对应的分包，最后“确定选择”按钮，如下图：</w:t>
      </w:r>
      <w:r>
        <w:t xml:space="preserve"> </w:t>
      </w:r>
    </w:p>
    <w:p>
      <w:r>
        <w:drawing>
          <wp:inline distT="0" distB="0" distL="114300" distR="114300">
            <wp:extent cx="5191125" cy="2491740"/>
            <wp:effectExtent l="0" t="0" r="9525" b="381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3、进入“新增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”页面，完善信息，如设置有无保证金、</w:t>
      </w:r>
      <w:r>
        <w:rPr>
          <w:rFonts w:hint="eastAsia"/>
          <w:lang w:eastAsia="zh-CN"/>
        </w:rPr>
        <w:t>征集文件下载</w:t>
      </w:r>
      <w:r>
        <w:rPr>
          <w:rFonts w:hint="eastAsia"/>
        </w:rPr>
        <w:t>时间、投标有效期等信息，如下图：</w:t>
      </w:r>
    </w:p>
    <w:p>
      <w:r>
        <w:drawing>
          <wp:inline distT="0" distB="0" distL="114300" distR="114300">
            <wp:extent cx="4976495" cy="2391410"/>
            <wp:effectExtent l="0" t="0" r="14605" b="889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特别提示：a、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截止时间为所选择日期的23：59分，超过则不能领取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；</w:t>
      </w:r>
    </w:p>
    <w:p>
      <w:pPr>
        <w:rPr>
          <w:rFonts w:hint="eastAsia"/>
        </w:rPr>
      </w:pPr>
      <w:r>
        <w:rPr>
          <w:rFonts w:hint="eastAsia"/>
        </w:rPr>
        <w:t xml:space="preserve"> 4、点击“制作”按钮，进入到在线制作招标文件工具页面，制作完成后点击“提交审核”按钮，提交审核，如下图：</w:t>
      </w:r>
    </w:p>
    <w:p>
      <w:r>
        <w:drawing>
          <wp:inline distT="0" distB="0" distL="0" distR="0">
            <wp:extent cx="5274310" cy="22542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特别提示：如果点修改保存，那么用户还可以对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进行修改，如果点提交审批，则不可以修改。电子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流程详见“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制作”。</w:t>
      </w:r>
    </w:p>
    <w:p>
      <w:r>
        <w:rPr>
          <w:rFonts w:hint="eastAsia"/>
          <w:b/>
        </w:rPr>
        <w:t>注</w:t>
      </w:r>
      <w:r>
        <w:rPr>
          <w:rFonts w:hint="eastAsia"/>
        </w:rPr>
        <w:t>：文件信息【</w:t>
      </w:r>
      <w:r>
        <w:rPr>
          <w:rFonts w:hint="eastAsia"/>
          <w:b/>
        </w:rPr>
        <w:t>投标人是否需要上传大附件</w:t>
      </w:r>
      <w:r>
        <w:rPr>
          <w:rFonts w:hint="eastAsia"/>
        </w:rPr>
        <w:t>】如果勾选是，投标人在上传投标文件时，会出现【上传大附件】模块，用来上传投标文件外的大附件。之后在评标系统中，评委通过大附件下载菜单进行下载查看。</w:t>
      </w:r>
    </w:p>
    <w:p>
      <w:pPr>
        <w:pStyle w:val="5"/>
      </w:pPr>
      <w:bookmarkStart w:id="53" w:name="_Toc826931087"/>
      <w:bookmarkStart w:id="54" w:name="_Toc1026"/>
      <w:r>
        <w:rPr>
          <w:rFonts w:hint="eastAsia"/>
          <w:lang w:eastAsia="zh-CN"/>
        </w:rPr>
        <w:t>征集文件</w:t>
      </w:r>
      <w:r>
        <w:t>制作</w:t>
      </w:r>
      <w:bookmarkEnd w:id="53"/>
      <w:bookmarkEnd w:id="54"/>
    </w:p>
    <w:p>
      <w:pPr>
        <w:pStyle w:val="37"/>
        <w:ind w:left="360" w:firstLine="0" w:firstLineChars="0"/>
      </w:pPr>
      <w:r>
        <w:rPr>
          <w:rFonts w:hint="eastAsia"/>
        </w:rPr>
        <w:t>点击“</w:t>
      </w:r>
      <w:r>
        <w:rPr>
          <w:rFonts w:hint="eastAsia"/>
          <w:b/>
        </w:rPr>
        <w:t>制作</w:t>
      </w:r>
      <w:r>
        <w:rPr>
          <w:rFonts w:hint="eastAsia"/>
        </w:rPr>
        <w:t>”按钮，进入选择模板界面，选择所要用到的模板，</w:t>
      </w:r>
    </w:p>
    <w:p>
      <w:pPr>
        <w:pStyle w:val="37"/>
        <w:ind w:left="360" w:firstLine="0" w:firstLineChars="0"/>
        <w:rPr>
          <w:b/>
        </w:rPr>
      </w:pPr>
      <w:r>
        <w:rPr>
          <w:rFonts w:hint="eastAsia"/>
          <w:b/>
        </w:rPr>
        <w:t>河南省政府采购无模板货物类或服务类专用范本</w:t>
      </w:r>
    </w:p>
    <w:p>
      <w:pPr>
        <w:pStyle w:val="37"/>
        <w:ind w:left="360" w:firstLine="0" w:firstLineChars="0"/>
      </w:pPr>
      <w:r>
        <w:rPr>
          <w:rFonts w:hint="eastAsia"/>
        </w:rPr>
        <w:t>点击“+”选择模板进入</w:t>
      </w:r>
    </w:p>
    <w:p>
      <w:pPr>
        <w:pStyle w:val="37"/>
        <w:numPr>
          <w:ilvl w:val="0"/>
          <w:numId w:val="8"/>
        </w:numPr>
        <w:ind w:left="0" w:firstLine="0" w:firstLineChars="0"/>
      </w:pPr>
      <w:r>
        <w:rPr>
          <w:rFonts w:hint="eastAsia"/>
          <w:b/>
        </w:rPr>
        <w:t>招标正文</w:t>
      </w:r>
      <w:r>
        <w:rPr>
          <w:rFonts w:hint="eastAsia"/>
        </w:rPr>
        <w:t>：首先定位到招标正文节点，点击重新上传按钮，浏览到已经编辑好的word格式的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进行上传。</w:t>
      </w:r>
    </w:p>
    <w:p>
      <w:r>
        <w:drawing>
          <wp:inline distT="0" distB="0" distL="0" distR="0">
            <wp:extent cx="5274310" cy="1840865"/>
            <wp:effectExtent l="0" t="0" r="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特别提示：若对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有修改，请在word中修改好，重新上传。</w:t>
      </w:r>
    </w:p>
    <w:p>
      <w:pPr>
        <w:pStyle w:val="3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评标办法：</w:t>
      </w:r>
      <w:r>
        <w:rPr>
          <w:rFonts w:hint="eastAsia"/>
        </w:rPr>
        <w:t>首先下拉</w:t>
      </w:r>
      <w:r>
        <w:rPr>
          <w:rFonts w:hint="eastAsia"/>
          <w:b/>
        </w:rPr>
        <w:t>选择评标办法</w:t>
      </w:r>
      <w:r>
        <w:rPr>
          <w:rFonts w:hint="eastAsia"/>
        </w:rPr>
        <w:t>和设置评分</w:t>
      </w:r>
      <w:r>
        <w:rPr>
          <w:rFonts w:hint="eastAsia"/>
          <w:b/>
        </w:rPr>
        <w:t>汇总方式</w:t>
      </w:r>
      <w:r>
        <w:rPr>
          <w:rFonts w:hint="eastAsia"/>
        </w:rPr>
        <w:t>，点击“确定”按钮。</w:t>
      </w:r>
    </w:p>
    <w:p>
      <w:pPr>
        <w:rPr>
          <w:b/>
        </w:rPr>
      </w:pPr>
      <w:r>
        <w:drawing>
          <wp:inline distT="0" distB="0" distL="0" distR="0">
            <wp:extent cx="5274310" cy="23990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</w:t>
      </w:r>
      <w:r>
        <w:rPr>
          <w:rFonts w:hint="eastAsia"/>
          <w:b/>
        </w:rPr>
        <w:t>确定</w:t>
      </w:r>
      <w:r>
        <w:rPr>
          <w:rFonts w:hint="eastAsia"/>
        </w:rPr>
        <w:t>”按钮，页面会出现</w:t>
      </w:r>
      <w:r>
        <w:rPr>
          <w:rFonts w:hint="eastAsia"/>
          <w:b/>
        </w:rPr>
        <w:t>初步评审</w:t>
      </w:r>
      <w:r>
        <w:rPr>
          <w:rFonts w:hint="eastAsia"/>
        </w:rPr>
        <w:t>和</w:t>
      </w:r>
      <w:r>
        <w:rPr>
          <w:rFonts w:hint="eastAsia"/>
          <w:b/>
        </w:rPr>
        <w:t>详细评审</w:t>
      </w:r>
      <w:r>
        <w:rPr>
          <w:rFonts w:hint="eastAsia"/>
        </w:rPr>
        <w:t>两个节点：</w:t>
      </w:r>
    </w:p>
    <w:p>
      <w:r>
        <w:rPr>
          <w:rFonts w:hint="eastAsia"/>
          <w:b/>
        </w:rPr>
        <w:t>初步评审：</w:t>
      </w:r>
      <w:r>
        <w:rPr>
          <w:rFonts w:hint="eastAsia"/>
        </w:rPr>
        <w:t>分为</w:t>
      </w:r>
      <w:r>
        <w:rPr>
          <w:rFonts w:hint="eastAsia"/>
          <w:b/>
        </w:rPr>
        <w:t>形式评审</w:t>
      </w:r>
      <w:r>
        <w:rPr>
          <w:rFonts w:hint="eastAsia"/>
        </w:rPr>
        <w:t>、</w:t>
      </w:r>
      <w:r>
        <w:rPr>
          <w:rFonts w:hint="eastAsia"/>
          <w:b/>
        </w:rPr>
        <w:t>资格审查和符合性审查，</w:t>
      </w:r>
      <w:r>
        <w:rPr>
          <w:rFonts w:hint="eastAsia"/>
        </w:rPr>
        <w:t>需要分别对三个节点的评审点进行设置，下面以形式评审为例：</w:t>
      </w:r>
      <w:r>
        <w:rPr>
          <w:rFonts w:hint="eastAsia"/>
        </w:rPr>
        <w:tab/>
      </w:r>
    </w:p>
    <w:p>
      <w:r>
        <w:rPr>
          <w:rFonts w:hint="eastAsia"/>
        </w:rPr>
        <w:t>点击“新增评分点”，填写评审点名称、评审标准，设置完成后点击“修改保存”按钮，然后继续新增下一条评审点。</w:t>
      </w:r>
    </w:p>
    <w:p>
      <w:r>
        <w:drawing>
          <wp:inline distT="0" distB="0" distL="0" distR="0">
            <wp:extent cx="5274310" cy="1484630"/>
            <wp:effectExtent l="0" t="0" r="2540" b="1270"/>
            <wp:docPr id="102" name="图片 10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10105"/>
            <wp:effectExtent l="0" t="0" r="0" b="0"/>
            <wp:docPr id="108" name="图片 10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注意：</w:t>
      </w:r>
      <w:r>
        <w:rPr>
          <w:rFonts w:hint="eastAsia"/>
          <w:color w:val="FF0000"/>
        </w:rPr>
        <w:t>资格审查节点的评分点，由采购人评委在评标前进行资格审查评审。资格审查部分的评分点录入到此节点。</w:t>
      </w:r>
    </w:p>
    <w:p>
      <w:r>
        <w:rPr>
          <w:rFonts w:hint="eastAsia"/>
          <w:b/>
        </w:rPr>
        <w:t>详细评审：</w:t>
      </w:r>
      <w:r>
        <w:rPr>
          <w:rFonts w:hint="eastAsia"/>
        </w:rPr>
        <w:t>分为</w:t>
      </w:r>
      <w:r>
        <w:rPr>
          <w:rFonts w:hint="eastAsia"/>
          <w:b/>
        </w:rPr>
        <w:t>经济标</w:t>
      </w:r>
      <w:r>
        <w:rPr>
          <w:rFonts w:hint="eastAsia"/>
        </w:rPr>
        <w:t>、</w:t>
      </w:r>
      <w:r>
        <w:rPr>
          <w:rFonts w:hint="eastAsia"/>
          <w:b/>
        </w:rPr>
        <w:t>技术标</w:t>
      </w:r>
      <w:r>
        <w:rPr>
          <w:rFonts w:hint="eastAsia"/>
        </w:rPr>
        <w:t>和</w:t>
      </w:r>
      <w:r>
        <w:rPr>
          <w:rFonts w:hint="eastAsia"/>
          <w:b/>
        </w:rPr>
        <w:t>综合标，</w:t>
      </w:r>
      <w:r>
        <w:rPr>
          <w:rFonts w:hint="eastAsia"/>
        </w:rPr>
        <w:t>需要分别对三个节点的评审点进行设置。下面以技术标为例：</w:t>
      </w:r>
      <w:r>
        <w:rPr>
          <w:rFonts w:hint="eastAsia"/>
        </w:rPr>
        <w:tab/>
      </w:r>
    </w:p>
    <w:p>
      <w:r>
        <w:rPr>
          <w:rFonts w:hint="eastAsia"/>
        </w:rPr>
        <w:t>点击“新增评分点”，填写评审点名称、评审标准、最高分和最低分（评委评分时只能在此区间打分），设置完成后点击“修改保存”按钮，然后继续新增下一条评审点。</w:t>
      </w:r>
    </w:p>
    <w:p>
      <w:r>
        <w:drawing>
          <wp:inline distT="0" distB="0" distL="0" distR="0">
            <wp:extent cx="5274310" cy="2125345"/>
            <wp:effectExtent l="0" t="0" r="0" b="0"/>
            <wp:docPr id="109" name="图片 10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如果有要求，缺项为0分的，在打分方式里选择“等级直接打分”，评审点档次设置为2，如下图：</w:t>
      </w:r>
    </w:p>
    <w:p>
      <w:r>
        <w:drawing>
          <wp:inline distT="0" distB="0" distL="0" distR="0">
            <wp:extent cx="5274310" cy="2219325"/>
            <wp:effectExtent l="0" t="0" r="0" b="0"/>
            <wp:docPr id="110" name="图片 110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经济标评审</w:t>
      </w:r>
      <w:r>
        <w:rPr>
          <w:rFonts w:hint="eastAsia"/>
        </w:rPr>
        <w:t>为自动算分，点击评分点可修改评审标准及分值，如下图：</w:t>
      </w:r>
    </w:p>
    <w:p>
      <w:r>
        <w:drawing>
          <wp:inline distT="0" distB="0" distL="0" distR="0">
            <wp:extent cx="5274310" cy="121729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基准值公式、扣分公式及评分点名称尽量不要修改，修改后可能导致自动算分失败。</w:t>
      </w:r>
    </w:p>
    <w:p>
      <w:r>
        <w:drawing>
          <wp:inline distT="0" distB="0" distL="0" distR="0">
            <wp:extent cx="5274310" cy="2679065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特别提示：</w:t>
      </w:r>
    </w:p>
    <w:p>
      <w:pPr>
        <w:pStyle w:val="37"/>
        <w:ind w:left="360" w:firstLine="0" w:firstLineChars="0"/>
      </w:pPr>
      <w:r>
        <w:rPr>
          <w:rFonts w:hint="eastAsia"/>
        </w:rPr>
        <w:t>（1）若选择错模板或评标办法，可在新增页面点击“编辑中”选中删除，重新新增。</w:t>
      </w:r>
    </w:p>
    <w:p>
      <w:pPr>
        <w:pStyle w:val="37"/>
        <w:ind w:left="360" w:firstLine="0" w:firstLineChars="0"/>
      </w:pPr>
      <w:r>
        <w:rPr>
          <w:rFonts w:hint="eastAsia"/>
        </w:rPr>
        <w:t>（2）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一旦审核通过，则不能进行删除操作，提交审核前请务必选择正确的模板和评标办法。</w:t>
      </w:r>
    </w:p>
    <w:p>
      <w:pPr>
        <w:pStyle w:val="37"/>
        <w:ind w:left="360" w:firstLine="0" w:firstLineChars="0"/>
      </w:pPr>
      <w:r>
        <w:rPr>
          <w:rFonts w:hint="eastAsia"/>
        </w:rPr>
        <w:t>（3）废标条款设置仅需填写文字点击“新增”按钮；</w:t>
      </w:r>
    </w:p>
    <w:p>
      <w:pPr>
        <w:rPr>
          <w:bCs/>
        </w:rPr>
      </w:pPr>
      <w:r>
        <w:rPr>
          <w:bCs/>
        </w:rPr>
        <w:t>4</w:t>
      </w:r>
      <w:r>
        <w:rPr>
          <w:rFonts w:hint="eastAsia"/>
          <w:bCs/>
        </w:rPr>
        <w:t>、</w:t>
      </w:r>
      <w:r>
        <w:rPr>
          <w:rFonts w:hint="eastAsia"/>
          <w:b/>
          <w:bCs/>
        </w:rPr>
        <w:t>开标一览表</w:t>
      </w:r>
      <w:r>
        <w:rPr>
          <w:rFonts w:hint="eastAsia"/>
          <w:bCs/>
        </w:rPr>
        <w:t>：代理机构可根据自己项目的要求，选择对应不同的开标一览表。</w:t>
      </w:r>
    </w:p>
    <w:p>
      <w:pPr>
        <w:rPr>
          <w:bCs/>
        </w:rPr>
      </w:pPr>
      <w:r>
        <w:drawing>
          <wp:inline distT="0" distB="0" distL="114300" distR="114300">
            <wp:extent cx="5307965" cy="2548255"/>
            <wp:effectExtent l="0" t="0" r="6985" b="444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</w:rPr>
      </w:pPr>
      <w:r>
        <w:rPr>
          <w:rFonts w:hint="eastAsia"/>
          <w:bCs/>
        </w:rPr>
        <w:t>5、</w:t>
      </w:r>
      <w:r>
        <w:rPr>
          <w:rFonts w:hint="eastAsia"/>
          <w:b/>
        </w:rPr>
        <w:t>投标文件组成：</w:t>
      </w:r>
      <w:r>
        <w:rPr>
          <w:rFonts w:hint="eastAsia"/>
        </w:rPr>
        <w:t>可在“是否签章”列勾设置投标文件对应节点是否需要签章，可在“查看文件”列查看模板对应内容。</w:t>
      </w:r>
    </w:p>
    <w:p>
      <w:pPr>
        <w:rPr>
          <w:b/>
        </w:rPr>
      </w:pPr>
      <w:r>
        <w:drawing>
          <wp:inline distT="0" distB="0" distL="0" distR="0">
            <wp:extent cx="5274310" cy="1895475"/>
            <wp:effectExtent l="0" t="0" r="0" b="0"/>
            <wp:docPr id="112" name="图片 112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电脑软件截图&#10;&#10;描述已自动生成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特别提示：</w:t>
      </w:r>
    </w:p>
    <w:p>
      <w:pPr>
        <w:rPr>
          <w:b/>
        </w:rPr>
      </w:pPr>
      <w:r>
        <w:rPr>
          <w:rFonts w:hint="eastAsia"/>
          <w:b/>
        </w:rPr>
        <w:t>6、生成招标文件：</w:t>
      </w:r>
      <w:r>
        <w:rPr>
          <w:rFonts w:hint="eastAsia"/>
        </w:rPr>
        <w:t>第一步转换制定格式，第二步签章，第三步生成招标文件（插上</w:t>
      </w:r>
      <w:r>
        <w:rPr>
          <w:rFonts w:hint="eastAsia"/>
          <w:color w:val="auto"/>
        </w:rPr>
        <w:t>企业锁</w:t>
      </w:r>
      <w:r>
        <w:rPr>
          <w:rFonts w:hint="eastAsia"/>
        </w:rPr>
        <w:t>），如下图：</w:t>
      </w:r>
    </w:p>
    <w:p>
      <w:pPr>
        <w:rPr>
          <w:b/>
        </w:rPr>
      </w:pPr>
      <w:r>
        <w:drawing>
          <wp:inline distT="0" distB="0" distL="0" distR="0">
            <wp:extent cx="5274310" cy="2294890"/>
            <wp:effectExtent l="0" t="0" r="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5" w:name="_Toc20547"/>
      <w:bookmarkStart w:id="56" w:name="_Toc812530451"/>
      <w:r>
        <w:t>变更公告</w:t>
      </w:r>
      <w:bookmarkEnd w:id="55"/>
      <w:bookmarkEnd w:id="5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eastAsia="zh-CN"/>
        </w:rPr>
        <w:t>征集公告</w:t>
      </w:r>
      <w:r>
        <w:rPr>
          <w:rFonts w:hint="eastAsia"/>
        </w:rPr>
        <w:t>已发布。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编制变更公告，可变更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发售截止时间。</w:t>
      </w:r>
    </w:p>
    <w:p>
      <w:pPr>
        <w:ind w:firstLine="422"/>
      </w:pPr>
      <w:r>
        <w:rPr>
          <w:rFonts w:hint="eastAsia"/>
        </w:rPr>
        <w:t>财政厅推送项目：代理机构在河南省政府采购网发送变更公告，推送到河南省公共资源交易中心网站。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点击“变更公告”按钮，进入变更公告列表页，如下图：</w:t>
      </w:r>
    </w:p>
    <w:p>
      <w:pPr>
        <w:widowControl/>
        <w:jc w:val="left"/>
      </w:pPr>
      <w:r>
        <w:drawing>
          <wp:inline distT="0" distB="0" distL="114300" distR="114300">
            <wp:extent cx="5285105" cy="2603500"/>
            <wp:effectExtent l="0" t="0" r="10795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2、点击“新增变更公告”按钮，选择对应标段，点击“确认选择”按钮，（财政厅推送项目无法选择标段）如下图：</w:t>
      </w:r>
    </w:p>
    <w:p>
      <w:r>
        <w:drawing>
          <wp:inline distT="0" distB="0" distL="0" distR="0">
            <wp:extent cx="5274310" cy="2203450"/>
            <wp:effectExtent l="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3、填写变更公告内容，若需要变更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发售截止时间，则该选项选择“是”，点击“提交信息”进行提交审核。</w:t>
      </w:r>
    </w:p>
    <w:p>
      <w:r>
        <w:drawing>
          <wp:inline distT="0" distB="0" distL="0" distR="0">
            <wp:extent cx="5274310" cy="2038350"/>
            <wp:effectExtent l="0" t="0" r="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7" w:name="_Toc253879096"/>
      <w:bookmarkStart w:id="58" w:name="_Toc1223"/>
      <w:r>
        <w:rPr>
          <w:rFonts w:hint="eastAsia"/>
        </w:rPr>
        <w:t>答疑</w:t>
      </w:r>
      <w:r>
        <w:t>文件</w:t>
      </w:r>
      <w:bookmarkEnd w:id="57"/>
      <w:bookmarkEnd w:id="5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该项目已经进行了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备案。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对</w:t>
      </w:r>
      <w:r>
        <w:rPr>
          <w:rFonts w:hint="eastAsia"/>
          <w:lang w:eastAsia="zh-CN"/>
        </w:rPr>
        <w:t>征集文件</w:t>
      </w:r>
      <w:r>
        <w:rPr>
          <w:rFonts w:hint="eastAsia"/>
        </w:rPr>
        <w:t>进行澄清或者修改，可以提交多次。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widowControl/>
        <w:jc w:val="left"/>
        <w:rPr>
          <w:rFonts w:hint="eastAsia"/>
        </w:rPr>
      </w:pPr>
      <w:r>
        <w:rPr>
          <w:rFonts w:hint="eastAsia"/>
        </w:rPr>
        <w:t>点击“答疑澄清文件”按钮，再点击“新增答疑澄清文件”按钮，如下图：</w:t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5210810" cy="2566670"/>
            <wp:effectExtent l="0" t="0" r="8890" b="508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进入挑选招标文件页面，选择一个对应的标段，再点击“确定选择”</w:t>
      </w:r>
    </w:p>
    <w:p>
      <w:pPr>
        <w:pStyle w:val="37"/>
        <w:ind w:firstLine="0" w:firstLineChars="0"/>
        <w:jc w:val="left"/>
      </w:pPr>
      <w:r>
        <w:drawing>
          <wp:inline distT="0" distB="0" distL="0" distR="0">
            <wp:extent cx="5274310" cy="2481580"/>
            <wp:effectExtent l="0" t="0" r="0" b="0"/>
            <wp:docPr id="472" name="图片 47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3、进入新增答疑澄清文件页面，输入各项澄清修改信息（澄清与修改内容），点击“修改”制作答疑澄清文件，如下图：</w:t>
      </w:r>
    </w:p>
    <w:p>
      <w:r>
        <w:drawing>
          <wp:inline distT="0" distB="0" distL="114300" distR="114300">
            <wp:extent cx="5271135" cy="2486660"/>
            <wp:effectExtent l="0" t="0" r="5715" b="8890"/>
            <wp:docPr id="25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7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答疑说明文件导入：上传此次答疑说明文件；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答疑正文导入：修改后征集文件正文；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评标办法：设置评标办法；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开标一览表：选择开标一览表；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投标文件组成设置：选择投标文件组成节点；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生成答疑文件：先进行批量转换，盖章后生成答疑文件。</w:t>
      </w:r>
    </w:p>
    <w:p>
      <w:r>
        <w:drawing>
          <wp:inline distT="0" distB="0" distL="114300" distR="114300">
            <wp:extent cx="5273040" cy="1931035"/>
            <wp:effectExtent l="0" t="0" r="3810" b="12065"/>
            <wp:docPr id="25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7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注意：制作答疑文件的各个部分内容参考征集文件制作模块，需要进行变更修改的，直接选择对应节点进行调整。</w:t>
      </w:r>
    </w:p>
    <w:p>
      <w:pPr>
        <w:pStyle w:val="5"/>
      </w:pPr>
      <w:bookmarkStart w:id="59" w:name="_Toc1164711385"/>
      <w:bookmarkStart w:id="60" w:name="_Toc22547"/>
      <w:r>
        <w:rPr>
          <w:rFonts w:hint="eastAsia"/>
        </w:rPr>
        <w:t>提问查看</w:t>
      </w:r>
      <w:bookmarkEnd w:id="59"/>
      <w:bookmarkEnd w:id="60"/>
    </w:p>
    <w:p>
      <w:r>
        <w:rPr>
          <w:rFonts w:hint="eastAsia"/>
          <w:b/>
        </w:rPr>
        <w:t>前提条件：</w:t>
      </w:r>
      <w:r>
        <w:rPr>
          <w:rFonts w:hint="eastAsia"/>
        </w:rPr>
        <w:t>投标人领取文件后发起提问。</w:t>
      </w:r>
    </w:p>
    <w:p>
      <w:r>
        <w:rPr>
          <w:rFonts w:hint="eastAsia"/>
          <w:b/>
        </w:rPr>
        <w:t>流程功能：</w:t>
      </w:r>
      <w:r>
        <w:rPr>
          <w:rFonts w:hint="eastAsia"/>
        </w:rPr>
        <w:t>投标人发起提问，采购代理进行查看。查看问题后可通过答疑文件或群发消息对投标人进行回复。</w:t>
      </w:r>
    </w:p>
    <w:p>
      <w:pPr>
        <w:rPr>
          <w:b/>
        </w:rPr>
      </w:pPr>
      <w:r>
        <w:drawing>
          <wp:inline distT="0" distB="0" distL="114300" distR="114300">
            <wp:extent cx="5303520" cy="2609850"/>
            <wp:effectExtent l="0" t="0" r="1143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1" w:name="_Toc5522"/>
      <w:bookmarkStart w:id="62" w:name="_Toc1184277143"/>
      <w:r>
        <w:t>消息</w:t>
      </w:r>
      <w:r>
        <w:rPr>
          <w:rFonts w:hint="eastAsia"/>
        </w:rPr>
        <w:t>群发</w:t>
      </w:r>
      <w:bookmarkEnd w:id="61"/>
      <w:bookmarkEnd w:id="62"/>
    </w:p>
    <w:p>
      <w:r>
        <w:rPr>
          <w:rFonts w:hint="eastAsia"/>
          <w:b/>
        </w:rPr>
        <w:t>前提条件：</w:t>
      </w:r>
      <w:r>
        <w:rPr>
          <w:rFonts w:hint="eastAsia"/>
        </w:rPr>
        <w:t>采购文件已发布。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b/>
        </w:rPr>
        <w:t>流程功能：</w:t>
      </w:r>
      <w:r>
        <w:rPr>
          <w:rFonts w:hint="eastAsia"/>
        </w:rPr>
        <w:t>代理机构给已领取文件的投标单位发送群发消息</w:t>
      </w:r>
      <w:r>
        <w:rPr>
          <w:rFonts w:hint="eastAsia"/>
          <w:lang w:eastAsia="zh-CN"/>
        </w:rPr>
        <w:t>。</w:t>
      </w:r>
    </w:p>
    <w:p>
      <w:pPr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11"/>
        </w:numPr>
        <w:ind w:firstLineChars="0"/>
      </w:pPr>
      <w:r>
        <w:rPr>
          <w:rFonts w:hint="eastAsia"/>
        </w:rPr>
        <w:t>进入“群发消息”菜单点击“新增消息”按钮，选择需要群发消息的标段，如下图：</w:t>
      </w:r>
    </w:p>
    <w:p>
      <w:pPr>
        <w:widowControl/>
        <w:jc w:val="left"/>
      </w:pPr>
      <w:r>
        <w:drawing>
          <wp:inline distT="0" distB="0" distL="114300" distR="114300">
            <wp:extent cx="5386705" cy="2673350"/>
            <wp:effectExtent l="0" t="0" r="4445" b="1270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32355"/>
            <wp:effectExtent l="0" t="0" r="2540" b="1079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1"/>
        </w:numPr>
        <w:ind w:firstLineChars="0"/>
      </w:pPr>
      <w:r>
        <w:rPr>
          <w:rFonts w:hint="eastAsia"/>
        </w:rPr>
        <w:t>填写消息内容，点击“发送”按钮，已</w:t>
      </w:r>
      <w:r>
        <w:rPr>
          <w:rFonts w:hint="eastAsia"/>
          <w:lang w:val="en-US" w:eastAsia="zh-CN"/>
        </w:rPr>
        <w:t>领取征集文件</w:t>
      </w:r>
      <w:r>
        <w:rPr>
          <w:rFonts w:hint="eastAsia"/>
        </w:rPr>
        <w:t>的投标单位就会收到消息提醒。</w:t>
      </w:r>
    </w:p>
    <w:p>
      <w:r>
        <w:t xml:space="preserve"> </w:t>
      </w:r>
      <w:r>
        <w:drawing>
          <wp:inline distT="0" distB="0" distL="0" distR="0">
            <wp:extent cx="5274310" cy="2242820"/>
            <wp:effectExtent l="0" t="0" r="0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3" w:name="_Toc22813"/>
      <w:bookmarkStart w:id="64" w:name="_Toc2130586654"/>
      <w:r>
        <w:rPr>
          <w:rFonts w:hint="eastAsia"/>
        </w:rPr>
        <w:t>开标评标</w:t>
      </w:r>
      <w:bookmarkEnd w:id="63"/>
      <w:bookmarkEnd w:id="64"/>
    </w:p>
    <w:p>
      <w:pPr>
        <w:pStyle w:val="5"/>
      </w:pPr>
      <w:bookmarkStart w:id="65" w:name="_Toc272262252"/>
      <w:bookmarkStart w:id="66" w:name="_Toc29653"/>
      <w:r>
        <w:rPr>
          <w:rFonts w:hint="eastAsia"/>
        </w:rPr>
        <w:t>开标情况</w:t>
      </w:r>
      <w:bookmarkEnd w:id="65"/>
      <w:bookmarkEnd w:id="6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开标时间截止。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获取开标数据。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left"/>
        <w:textAlignment w:val="auto"/>
      </w:pPr>
      <w:r>
        <w:rPr>
          <w:rFonts w:hint="eastAsia"/>
        </w:rPr>
        <w:t>点击“开标情况”按钮，找到对应标段，点击“查看”按钮，进入开标情况录入页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/>
        <w:textAlignment w:val="auto"/>
      </w:pPr>
      <w:r>
        <w:rPr>
          <w:rFonts w:hint="eastAsia"/>
        </w:rPr>
        <w:t>面，如下图：</w:t>
      </w:r>
    </w:p>
    <w:p>
      <w:pPr>
        <w:widowControl/>
        <w:jc w:val="left"/>
      </w:pPr>
      <w:r>
        <w:drawing>
          <wp:inline distT="0" distB="0" distL="0" distR="0">
            <wp:extent cx="5274310" cy="214947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left"/>
        <w:textAlignment w:val="auto"/>
        <w:rPr>
          <w:rFonts w:hint="eastAsia"/>
        </w:rPr>
      </w:pPr>
      <w:r>
        <w:rPr>
          <w:rFonts w:hint="eastAsia"/>
        </w:rPr>
        <w:t>进入查看开标情况页面，首先点击“获取开标数据”，然后选择投标单位点击“查看”按钮可以查看投标详细情况，如下图：</w:t>
      </w:r>
    </w:p>
    <w:p>
      <w:r>
        <w:drawing>
          <wp:inline distT="0" distB="0" distL="0" distR="0">
            <wp:extent cx="5274310" cy="2157730"/>
            <wp:effectExtent l="0" t="0" r="0" b="0"/>
            <wp:docPr id="513" name="图片 5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</w:pPr>
      <w:bookmarkStart w:id="67" w:name="_Toc1118406408"/>
      <w:bookmarkStart w:id="68" w:name="_Toc10067"/>
      <w:r>
        <w:t>评标情况</w:t>
      </w:r>
      <w:bookmarkEnd w:id="67"/>
      <w:bookmarkEnd w:id="68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评标已结束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查看评标信息、评标结果、评标报告。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操作流程：</w:t>
      </w:r>
    </w:p>
    <w:p>
      <w:pPr>
        <w:pStyle w:val="37"/>
        <w:numPr>
          <w:ilvl w:val="0"/>
          <w:numId w:val="13"/>
        </w:numPr>
        <w:spacing w:line="360" w:lineRule="auto"/>
        <w:ind w:firstLineChars="0"/>
        <w:jc w:val="left"/>
      </w:pPr>
      <w:r>
        <w:rPr>
          <w:rFonts w:hint="eastAsia"/>
        </w:rPr>
        <w:t>点击“评标情况”按钮，再点击“进入”按钮。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00977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left"/>
        <w:textAlignment w:val="auto"/>
      </w:pPr>
      <w:r>
        <w:rPr>
          <w:rFonts w:hint="eastAsia"/>
        </w:rPr>
        <w:t>进入查看评标情况页面，先点击“获取评标数据”按钮，把评标数据从评标系统里获取过来。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19329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3"/>
        </w:numPr>
        <w:spacing w:line="360" w:lineRule="auto"/>
        <w:ind w:firstLineChars="0"/>
        <w:jc w:val="left"/>
      </w:pPr>
      <w:r>
        <w:rPr>
          <w:rFonts w:hint="eastAsia"/>
        </w:rPr>
        <w:t>评标结果页面，可查看评标数据，无问题点击</w:t>
      </w:r>
      <w:r>
        <w:rPr>
          <w:rFonts w:hint="eastAsia"/>
          <w:bCs/>
        </w:rPr>
        <w:t>评标结束</w:t>
      </w:r>
      <w:r>
        <w:rPr>
          <w:rFonts w:hint="eastAsia"/>
        </w:rPr>
        <w:t>按钮。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21869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3"/>
        </w:numPr>
        <w:ind w:firstLineChars="0"/>
      </w:pPr>
      <w:r>
        <w:rPr>
          <w:rFonts w:hint="eastAsia"/>
        </w:rPr>
        <w:t>评标报告里可查看评标报告和整个电子标所产生的所有电子档案。</w:t>
      </w:r>
    </w:p>
    <w:p>
      <w:r>
        <w:drawing>
          <wp:inline distT="0" distB="0" distL="0" distR="0">
            <wp:extent cx="5274310" cy="220281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9" w:name="_Toc716283721"/>
      <w:bookmarkStart w:id="70" w:name="_Toc9946"/>
      <w:r>
        <w:rPr>
          <w:rFonts w:hint="eastAsia"/>
        </w:rPr>
        <w:t>开标后</w:t>
      </w:r>
      <w:bookmarkEnd w:id="69"/>
      <w:bookmarkEnd w:id="70"/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textAlignment w:val="auto"/>
      </w:pPr>
      <w:bookmarkStart w:id="71" w:name="_Toc935219158"/>
      <w:bookmarkStart w:id="72" w:name="_Toc11118"/>
      <w:r>
        <w:rPr>
          <w:rFonts w:hint="eastAsia"/>
        </w:rPr>
        <w:t>采购</w:t>
      </w:r>
      <w:r>
        <w:t>异常</w:t>
      </w:r>
      <w:bookmarkEnd w:id="71"/>
      <w:bookmarkEnd w:id="72"/>
    </w:p>
    <w:p>
      <w:pPr>
        <w:ind w:firstLine="422"/>
        <w:rPr>
          <w:b/>
        </w:rPr>
      </w:pPr>
      <w:r>
        <w:rPr>
          <w:rFonts w:hint="eastAsia"/>
          <w:b/>
        </w:rPr>
        <w:t>前置流程：</w:t>
      </w:r>
      <w:r>
        <w:rPr>
          <w:rFonts w:hint="eastAsia"/>
        </w:rPr>
        <w:t>财政厅推送项目，需在省财政厅系统发布废标公告，才允许新增采购异常。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对于</w:t>
      </w:r>
      <w:r>
        <w:rPr>
          <w:rFonts w:hint="eastAsia"/>
          <w:lang w:eastAsia="zh-CN"/>
        </w:rPr>
        <w:t>征集</w:t>
      </w:r>
      <w:r>
        <w:rPr>
          <w:rFonts w:hint="eastAsia"/>
        </w:rPr>
        <w:t>失败，进行重新</w:t>
      </w:r>
      <w:r>
        <w:rPr>
          <w:rFonts w:hint="eastAsia"/>
          <w:lang w:eastAsia="zh-CN"/>
        </w:rPr>
        <w:t>征集</w:t>
      </w:r>
      <w:r>
        <w:rPr>
          <w:rFonts w:hint="eastAsia"/>
        </w:rPr>
        <w:t>或终止</w:t>
      </w:r>
      <w:r>
        <w:rPr>
          <w:rFonts w:hint="eastAsia"/>
          <w:lang w:eastAsia="zh-CN"/>
        </w:rPr>
        <w:t>征集</w:t>
      </w:r>
      <w:r>
        <w:rPr>
          <w:rFonts w:hint="eastAsia"/>
        </w:rPr>
        <w:t>或变更采购方式。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14"/>
        </w:numPr>
        <w:ind w:firstLineChars="0"/>
      </w:pPr>
      <w:r>
        <w:rPr>
          <w:rFonts w:hint="eastAsia"/>
        </w:rPr>
        <w:t>点击“采购异常”按钮，再点击“新增分包异常”按钮，如下图：</w:t>
      </w:r>
    </w:p>
    <w:p>
      <w:pPr>
        <w:widowControl/>
        <w:jc w:val="left"/>
      </w:pPr>
      <w:r>
        <w:drawing>
          <wp:inline distT="0" distB="0" distL="114300" distR="114300">
            <wp:extent cx="5259705" cy="2612390"/>
            <wp:effectExtent l="0" t="0" r="17145" b="1651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jc w:val="left"/>
      </w:pPr>
      <w:r>
        <w:rPr>
          <w:rFonts w:hint="eastAsia"/>
        </w:rPr>
        <w:t>进入挑选标段（包）页面，选择对应标段后，点击“确定选择”按钮，如下图：</w:t>
      </w:r>
    </w:p>
    <w:p>
      <w:pPr>
        <w:jc w:val="left"/>
      </w:pPr>
      <w:r>
        <w:drawing>
          <wp:inline distT="0" distB="0" distL="0" distR="0">
            <wp:extent cx="5274310" cy="220726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3、</w:t>
      </w:r>
      <w:r>
        <w:t>进入</w:t>
      </w:r>
      <w:r>
        <w:rPr>
          <w:rFonts w:hint="eastAsia"/>
        </w:rPr>
        <w:t>标段</w:t>
      </w:r>
      <w:r>
        <w:t>异常页面，</w:t>
      </w:r>
      <w:r>
        <w:rPr>
          <w:rFonts w:hint="eastAsia"/>
        </w:rPr>
        <w:t>选择异常处理、异常节点及是否发布异常公告，</w:t>
      </w:r>
      <w:r>
        <w:t>输入异常原因等信息，如下图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5274310" cy="216217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4、选择异常处理结果为</w:t>
      </w:r>
      <w:r>
        <w:rPr>
          <w:rFonts w:hint="eastAsia"/>
          <w:b/>
          <w:bCs/>
          <w:color w:val="FF0000"/>
        </w:rPr>
        <w:t>重新招标</w:t>
      </w:r>
      <w:r>
        <w:rPr>
          <w:rFonts w:hint="eastAsia"/>
        </w:rPr>
        <w:t>：是该标段从</w:t>
      </w:r>
      <w:r>
        <w:rPr>
          <w:rFonts w:hint="eastAsia"/>
          <w:lang w:eastAsia="zh-CN"/>
        </w:rPr>
        <w:t>征集</w:t>
      </w:r>
      <w:r>
        <w:rPr>
          <w:rFonts w:hint="eastAsia"/>
        </w:rPr>
        <w:t>公告开始重新走流程，且重新</w:t>
      </w:r>
      <w:r>
        <w:rPr>
          <w:rFonts w:hint="eastAsia"/>
          <w:lang w:eastAsia="zh-CN"/>
        </w:rPr>
        <w:t>征集</w:t>
      </w:r>
      <w:r>
        <w:rPr>
          <w:rFonts w:hint="eastAsia"/>
        </w:rPr>
        <w:t>的标段会有“重发公告第一次”的红色标记。</w:t>
      </w:r>
    </w:p>
    <w:p>
      <w:r>
        <w:rPr>
          <w:rFonts w:hint="eastAsia"/>
        </w:rPr>
        <w:t>5</w:t>
      </w:r>
      <w:r>
        <w:t>、选择处理结果为</w:t>
      </w:r>
      <w:r>
        <w:rPr>
          <w:b/>
          <w:bCs/>
          <w:color w:val="FF0000"/>
        </w:rPr>
        <w:t>终止招标</w:t>
      </w:r>
      <w:r>
        <w:t>：是该标段流程终止，</w:t>
      </w:r>
      <w:r>
        <w:rPr>
          <w:rFonts w:hint="eastAsia"/>
        </w:rPr>
        <w:t>不再进行</w:t>
      </w:r>
      <w:r>
        <w:rPr>
          <w:rFonts w:hint="eastAsia"/>
          <w:lang w:eastAsia="zh-CN"/>
        </w:rPr>
        <w:t>征集</w:t>
      </w:r>
      <w:r>
        <w:rPr>
          <w:rFonts w:hint="eastAsia"/>
        </w:rPr>
        <w:t>。</w:t>
      </w:r>
    </w:p>
    <w:p>
      <w:pPr>
        <w:rPr>
          <w:bCs/>
        </w:rPr>
      </w:pPr>
      <w:r>
        <w:rPr>
          <w:rFonts w:hint="eastAsia"/>
          <w:bCs/>
        </w:rPr>
        <w:t>6、</w:t>
      </w:r>
      <w:r>
        <w:rPr>
          <w:b/>
          <w:bCs w:val="0"/>
          <w:color w:val="FF0000"/>
        </w:rPr>
        <w:t>延后变更</w:t>
      </w:r>
      <w:r>
        <w:rPr>
          <w:bCs/>
        </w:rPr>
        <w:t>：是标段变更招标方式，比如：原招标方式为</w:t>
      </w:r>
      <w:r>
        <w:rPr>
          <w:rFonts w:hint="eastAsia"/>
          <w:bCs/>
        </w:rPr>
        <w:t>“公开招标”</w:t>
      </w:r>
      <w:r>
        <w:rPr>
          <w:bCs/>
        </w:rPr>
        <w:t>可变更为</w:t>
      </w:r>
      <w:r>
        <w:rPr>
          <w:rFonts w:hint="eastAsia"/>
          <w:bCs/>
        </w:rPr>
        <w:t>“邀请招标”或“竞争性谈判”，并且变更审核通过后，该标段的招标流程同样会变为邀请或竞争性谈判的流程。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注意：省财政厅推送项目变更采购方式，系统自动获取原采购计划中的采购网编号、采购方式，以及变更后的采购方式、采购网编号。且将变更后的信息关联到重新招标的标段上，开展后续招投标流程。</w:t>
      </w:r>
    </w:p>
    <w:p>
      <w:r>
        <w:drawing>
          <wp:inline distT="0" distB="0" distL="0" distR="0">
            <wp:extent cx="5274310" cy="228282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Cs/>
        </w:rPr>
        <w:t>7、</w:t>
      </w:r>
      <w:r>
        <w:rPr>
          <w:bCs/>
        </w:rPr>
        <w:t>是否发布</w:t>
      </w:r>
      <w:r>
        <w:rPr>
          <w:rFonts w:hint="eastAsia"/>
          <w:bCs/>
          <w:lang w:val="en-US" w:eastAsia="zh-CN"/>
        </w:rPr>
        <w:t>异常</w:t>
      </w:r>
      <w:r>
        <w:rPr>
          <w:bCs/>
        </w:rPr>
        <w:t>公告：勾选后，该异常信息可以网站公示，并可设置公告标题及公示开始和截止时间以及输入公告内容；不勾选就不会网站公示，如下图：</w:t>
      </w:r>
    </w:p>
    <w:p>
      <w:r>
        <w:drawing>
          <wp:inline distT="0" distB="0" distL="0" distR="0">
            <wp:extent cx="5274310" cy="211836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注：</w:t>
      </w:r>
      <w:r>
        <w:rPr>
          <w:rFonts w:hint="eastAsia"/>
          <w:color w:val="FF0000"/>
        </w:rPr>
        <w:t>1、此处发布的是异常公告，不是评标结果的公告；</w:t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2、进行评标的项目必须通过结果公示功能进行发布相关结果；</w:t>
      </w:r>
    </w:p>
    <w:p>
      <w:r>
        <w:rPr>
          <w:rFonts w:hint="eastAsia"/>
        </w:rPr>
        <w:t>8、异常节点选择：异常节点分为评标前和评标异常，两个选项决定后续流程如何进行；</w:t>
      </w:r>
    </w:p>
    <w:p>
      <w:r>
        <w:rPr>
          <w:rFonts w:hint="eastAsia"/>
        </w:rPr>
        <w:t>评标前异常，是指开标前或开标阶段（未进入评审程序）流标，选择此节点可直接提交采购异常；</w:t>
      </w:r>
    </w:p>
    <w:p>
      <w:r>
        <w:rPr>
          <w:rFonts w:hint="eastAsia"/>
        </w:rPr>
        <w:t>评标异常，是指进入到评审阶段后（已进行过评审）流标，选择此节点需发布结果公示才可提交采购异常；</w:t>
      </w:r>
    </w:p>
    <w:p>
      <w:r>
        <w:drawing>
          <wp:inline distT="0" distB="0" distL="0" distR="0">
            <wp:extent cx="5274310" cy="225488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9、</w:t>
      </w:r>
      <w:r>
        <w:t>设置完成后，</w:t>
      </w:r>
      <w:r>
        <w:rPr>
          <w:rFonts w:hint="eastAsia"/>
        </w:rPr>
        <w:t>上传相关材料并提交备案，如下图：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08470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3" w:name="_Toc24744"/>
      <w:bookmarkStart w:id="74" w:name="_Toc1460310575"/>
      <w:r>
        <w:rPr>
          <w:rFonts w:hint="eastAsia"/>
        </w:rPr>
        <w:t>定标确认备案</w:t>
      </w:r>
      <w:bookmarkEnd w:id="73"/>
      <w:bookmarkEnd w:id="7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评标已结束（评标情况里评标结束按钮已点过）。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根据省财政厅对接要求，代理机构新增定标确认功能，将定标信息推送给省财政厅系统。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点击“定标确认备案”菜单，再点击“新增定标确认”按钮，如下图：</w:t>
      </w:r>
    </w:p>
    <w:p>
      <w:pPr>
        <w:widowControl/>
        <w:jc w:val="left"/>
      </w:pPr>
      <w:r>
        <w:drawing>
          <wp:inline distT="0" distB="0" distL="114300" distR="114300">
            <wp:extent cx="5212715" cy="2593975"/>
            <wp:effectExtent l="0" t="0" r="6985" b="1587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进入挑选标段（包）页面，选择一个对应的标段，点击“确认选择”，如下图：</w:t>
      </w:r>
      <w:r>
        <w:t xml:space="preserve"> </w:t>
      </w:r>
      <w:r>
        <w:drawing>
          <wp:inline distT="0" distB="0" distL="114300" distR="114300">
            <wp:extent cx="5249545" cy="2518410"/>
            <wp:effectExtent l="0" t="0" r="8255" b="152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3、进入新增</w:t>
      </w:r>
      <w:r>
        <w:rPr>
          <w:rFonts w:hint="eastAsia"/>
        </w:rPr>
        <w:t>定标确认备案</w:t>
      </w:r>
      <w:r>
        <w:t>页面，</w:t>
      </w:r>
      <w:r>
        <w:rPr>
          <w:rFonts w:hint="eastAsia"/>
        </w:rPr>
        <w:t>录入定标信息，上传相关电子件，</w:t>
      </w:r>
      <w:r>
        <w:t>点</w:t>
      </w:r>
      <w:r>
        <w:rPr>
          <w:rFonts w:hint="eastAsia"/>
        </w:rPr>
        <w:t>提交信息按钮系统自动备案通过</w:t>
      </w:r>
      <w:r>
        <w:t>，如下图：</w:t>
      </w:r>
    </w:p>
    <w:p>
      <w:pPr>
        <w:widowControl/>
        <w:jc w:val="left"/>
      </w:pPr>
      <w:r>
        <w:drawing>
          <wp:inline distT="0" distB="0" distL="0" distR="0">
            <wp:extent cx="5274310" cy="222885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5" w:name="_Toc487258636"/>
      <w:bookmarkStart w:id="76" w:name="_Toc21191"/>
      <w:r>
        <w:rPr>
          <w:rFonts w:hint="eastAsia"/>
        </w:rPr>
        <w:t>结果公告</w:t>
      </w:r>
      <w:bookmarkEnd w:id="75"/>
      <w:bookmarkEnd w:id="7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评标已结束（评标情况里评标结束按钮已点过）。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发布结果公告至网站。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15"/>
        </w:numPr>
        <w:ind w:firstLineChars="0"/>
        <w:rPr>
          <w:rFonts w:ascii="宋体" w:hAnsi="宋体" w:cs="宋体"/>
          <w:kern w:val="0"/>
          <w:sz w:val="24"/>
        </w:rPr>
      </w:pPr>
      <w:r>
        <w:rPr>
          <w:rFonts w:hint="eastAsia"/>
        </w:rPr>
        <w:t>点击“结果公告”按钮，再点击“新增结果公告”按钮，如下图：</w:t>
      </w:r>
    </w:p>
    <w:p>
      <w:pPr>
        <w:rPr>
          <w:b/>
        </w:rPr>
      </w:pPr>
      <w:r>
        <w:drawing>
          <wp:inline distT="0" distB="0" distL="114300" distR="114300">
            <wp:extent cx="5136515" cy="2512060"/>
            <wp:effectExtent l="0" t="0" r="6985" b="254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5"/>
        </w:numPr>
        <w:ind w:firstLineChars="0"/>
      </w:pPr>
      <w:r>
        <w:rPr>
          <w:rFonts w:hint="eastAsia"/>
        </w:rPr>
        <w:t>进入挑选标段（包）页，选择对应标段，点击“确定选择”按钮。</w:t>
      </w:r>
    </w:p>
    <w:p>
      <w:r>
        <w:drawing>
          <wp:inline distT="0" distB="0" distL="114300" distR="114300">
            <wp:extent cx="5249545" cy="2518410"/>
            <wp:effectExtent l="0" t="0" r="8255" b="15240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3、录入公告媒体、中标信息及公示内容，上传附件后点击“提交信息”按钮，提交审核如下图：</w:t>
      </w:r>
    </w:p>
    <w:p>
      <w:r>
        <w:drawing>
          <wp:inline distT="0" distB="0" distL="0" distR="0">
            <wp:extent cx="5274310" cy="219392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</w:rPr>
        <w:t>特别提示：</w:t>
      </w:r>
      <w:r>
        <w:rPr>
          <w:rFonts w:hint="eastAsia"/>
          <w:b/>
          <w:color w:val="FF0000"/>
        </w:rPr>
        <w:t>省财政厅推送项目，</w:t>
      </w:r>
      <w:r>
        <w:rPr>
          <w:rFonts w:hint="eastAsia"/>
          <w:b/>
          <w:color w:val="FF0000"/>
          <w:lang w:val="en-US" w:eastAsia="zh-CN"/>
        </w:rPr>
        <w:t>入围</w:t>
      </w:r>
      <w:r>
        <w:rPr>
          <w:rFonts w:hint="eastAsia"/>
          <w:b/>
          <w:color w:val="FF0000"/>
        </w:rPr>
        <w:t>结果公告在省财政厅系统发布后，推送给省</w:t>
      </w:r>
      <w:r>
        <w:rPr>
          <w:rFonts w:hint="default"/>
          <w:b/>
          <w:color w:val="FF0000"/>
        </w:rPr>
        <w:t>公共资源</w:t>
      </w:r>
      <w:r>
        <w:rPr>
          <w:rFonts w:hint="eastAsia"/>
          <w:b/>
          <w:color w:val="FF0000"/>
        </w:rPr>
        <w:t>交易中心门户网，无需在省</w:t>
      </w:r>
      <w:r>
        <w:rPr>
          <w:rFonts w:hint="default"/>
          <w:b/>
          <w:color w:val="FF0000"/>
        </w:rPr>
        <w:t>公共资源“</w:t>
      </w:r>
      <w:r>
        <w:rPr>
          <w:rFonts w:hint="eastAsia"/>
          <w:b/>
          <w:color w:val="FF0000"/>
        </w:rPr>
        <w:t>智慧交易</w:t>
      </w:r>
      <w:r>
        <w:rPr>
          <w:rFonts w:hint="default"/>
          <w:b/>
          <w:color w:val="FF0000"/>
        </w:rPr>
        <w:t>”系统</w:t>
      </w:r>
      <w:r>
        <w:rPr>
          <w:rFonts w:hint="eastAsia"/>
          <w:b/>
          <w:color w:val="FF0000"/>
        </w:rPr>
        <w:t>新增</w:t>
      </w:r>
      <w:r>
        <w:rPr>
          <w:rFonts w:hint="eastAsia"/>
          <w:b/>
          <w:color w:val="FF0000"/>
          <w:lang w:val="en-US" w:eastAsia="zh-CN"/>
        </w:rPr>
        <w:t>入围</w:t>
      </w:r>
      <w:r>
        <w:rPr>
          <w:rFonts w:hint="eastAsia"/>
          <w:b/>
          <w:color w:val="FF0000"/>
        </w:rPr>
        <w:t>结果公告。</w:t>
      </w:r>
    </w:p>
    <w:p>
      <w:pPr>
        <w:pStyle w:val="5"/>
      </w:pPr>
      <w:bookmarkStart w:id="77" w:name="_Toc30454"/>
      <w:bookmarkStart w:id="78" w:name="_Toc1892922430"/>
      <w:r>
        <w:rPr>
          <w:rFonts w:hint="eastAsia"/>
        </w:rPr>
        <w:t>项目复议</w:t>
      </w:r>
      <w:bookmarkEnd w:id="77"/>
      <w:bookmarkEnd w:id="78"/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</w:rPr>
        <w:t>前提条件：</w:t>
      </w:r>
      <w:r>
        <w:rPr>
          <w:rFonts w:hint="eastAsia"/>
          <w:lang w:val="en-US" w:eastAsia="zh-CN"/>
        </w:rPr>
        <w:t>采购人提交复议申请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val="en-US" w:eastAsia="zh-CN"/>
        </w:rPr>
        <w:t>代理机构查看</w:t>
      </w:r>
      <w:r>
        <w:rPr>
          <w:rFonts w:hint="eastAsia"/>
        </w:rPr>
        <w:t>复议申请。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widowControl/>
        <w:numPr>
          <w:ilvl w:val="0"/>
          <w:numId w:val="16"/>
        </w:numPr>
        <w:jc w:val="left"/>
      </w:pPr>
      <w:r>
        <w:rPr>
          <w:rFonts w:hint="eastAsia"/>
        </w:rPr>
        <w:t>点击“项目复议”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，再点击“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”按钮，</w:t>
      </w:r>
      <w:r>
        <w:rPr>
          <w:rFonts w:hint="eastAsia"/>
          <w:lang w:val="en-US" w:eastAsia="zh-CN"/>
        </w:rPr>
        <w:t>查看复议申请。</w:t>
      </w:r>
      <w:r>
        <w:rPr>
          <w:rFonts w:hint="eastAsia"/>
        </w:rPr>
        <w:t>如下图：</w:t>
      </w:r>
      <w:r>
        <w:t xml:space="preserve"> </w:t>
      </w:r>
    </w:p>
    <w:p>
      <w:pPr>
        <w:widowControl/>
        <w:numPr>
          <w:ilvl w:val="0"/>
          <w:numId w:val="0"/>
        </w:numPr>
        <w:jc w:val="left"/>
      </w:pPr>
      <w:r>
        <w:drawing>
          <wp:inline distT="0" distB="0" distL="114300" distR="114300">
            <wp:extent cx="5149850" cy="2539365"/>
            <wp:effectExtent l="0" t="0" r="12700" b="1333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7155" cy="2329180"/>
            <wp:effectExtent l="0" t="0" r="4445" b="13970"/>
            <wp:docPr id="28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10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9" w:name="_Toc19183"/>
      <w:bookmarkStart w:id="80" w:name="_Toc88465977"/>
      <w:r>
        <w:rPr>
          <w:rFonts w:hint="eastAsia"/>
        </w:rPr>
        <w:t>复议场地预约</w:t>
      </w:r>
      <w:bookmarkEnd w:id="79"/>
      <w:bookmarkEnd w:id="8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已提交项目复议且审核通过。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代理机构申请项目复议，需预约复议评标室。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widowControl/>
        <w:numPr>
          <w:ilvl w:val="0"/>
          <w:numId w:val="17"/>
        </w:numPr>
        <w:jc w:val="left"/>
      </w:pPr>
      <w:r>
        <w:rPr>
          <w:rFonts w:hint="eastAsia"/>
        </w:rPr>
        <w:t>点击“复议场地预约”按钮，再点击“新增复议场地预约”按钮，如下图：</w:t>
      </w:r>
      <w:r>
        <w:t xml:space="preserve">   </w:t>
      </w:r>
    </w:p>
    <w:p>
      <w:pPr>
        <w:widowControl/>
        <w:numPr>
          <w:ilvl w:val="0"/>
          <w:numId w:val="0"/>
        </w:numPr>
        <w:jc w:val="left"/>
      </w:pPr>
      <w:r>
        <w:drawing>
          <wp:inline distT="0" distB="0" distL="114300" distR="114300">
            <wp:extent cx="5383530" cy="2655570"/>
            <wp:effectExtent l="0" t="0" r="7620" b="1143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2、进入挑选标段（包）页，选择对应标段，点击“确定选择”按钮，如下图：</w:t>
      </w:r>
    </w:p>
    <w:p>
      <w:r>
        <w:drawing>
          <wp:inline distT="0" distB="0" distL="114300" distR="114300">
            <wp:extent cx="5249545" cy="2518410"/>
            <wp:effectExtent l="0" t="0" r="8255" b="15240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3、代理机构录入“复议时间、评委会总人数、联系人及电话”，点击“提交信息”按钮，系统自动安排复议评标室，如下图：</w:t>
      </w:r>
    </w:p>
    <w:p>
      <w:r>
        <w:drawing>
          <wp:inline distT="0" distB="0" distL="0" distR="0">
            <wp:extent cx="5274310" cy="2186305"/>
            <wp:effectExtent l="0" t="0" r="0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81" w:name="_Toc1107907686"/>
      <w:bookmarkStart w:id="82" w:name="_Toc15589"/>
      <w:r>
        <w:rPr>
          <w:rFonts w:hint="eastAsia"/>
        </w:rPr>
        <w:t>复议结果</w:t>
      </w:r>
      <w:bookmarkEnd w:id="81"/>
      <w:bookmarkEnd w:id="8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已约复议评标室</w:t>
      </w:r>
      <w:r>
        <w:rPr>
          <w:rFonts w:hint="eastAsia"/>
          <w:lang w:val="en-US" w:eastAsia="zh-CN"/>
        </w:rPr>
        <w:t>且复议结束</w:t>
      </w:r>
      <w:r>
        <w:rPr>
          <w:rFonts w:hint="eastAsia"/>
        </w:rPr>
        <w:t>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项目复议后，代理机构需录入复议结果。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7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点击“复议结果”按钮，再点击“新增复议场结果”按钮，如下图：</w:t>
      </w:r>
    </w:p>
    <w:p>
      <w:pPr>
        <w:pStyle w:val="37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114300" distR="114300">
            <wp:extent cx="5258435" cy="2123440"/>
            <wp:effectExtent l="0" t="0" r="18415" b="10160"/>
            <wp:docPr id="284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10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2、进入挑选标段（包）页面，选择对应标段后，点击“确定选择”按钮，如下图：</w:t>
      </w:r>
    </w:p>
    <w:p>
      <w:r>
        <w:drawing>
          <wp:inline distT="0" distB="0" distL="0" distR="0">
            <wp:extent cx="5274310" cy="218059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3、系统自动抓取复议前及复议后的打分数据，自动比对存在不一致标记红色，如下图：</w:t>
      </w:r>
    </w:p>
    <w:p>
      <w:r>
        <w:drawing>
          <wp:inline distT="0" distB="0" distL="114300" distR="114300">
            <wp:extent cx="5259070" cy="2408555"/>
            <wp:effectExtent l="0" t="0" r="17780" b="10795"/>
            <wp:docPr id="28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6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1953895"/>
            <wp:effectExtent l="0" t="0" r="13335" b="8255"/>
            <wp:docPr id="28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6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4、若排名信息不一致，系统默认为复议改变结果，代理机构需说明原因，并上传复议评标报告，如下图：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225040"/>
            <wp:effectExtent l="0" t="0" r="12065" b="3810"/>
            <wp:docPr id="28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7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454" w:footer="68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思源宋体 CN Light">
    <w:altName w:val="方正书宋_GBK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黑体">
    <w:altName w:val="黑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思源宋体">
    <w:altName w:val="方正书宋_GBK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jc w:val="right"/>
      <w:rPr>
        <w:i/>
        <w:iCs/>
        <w:color w:val="8C8C8C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WAAAAZHJzL1BLAQIU&#10;ABQAAAAIAIdO4kDOqXm5zwAAAAUBAAAPAAAAAAAAAAEAIAAAADgAAABkcnMvZG93bnJldi54bWxQ&#10;SwECFAAUAAAACACHTuJAZspnVbEBAABOAwAADgAAAAAAAAABACAAAAA0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BYAAABkcnMvUEsBAhQA&#10;FAAAAAgAh07iQM6pebnPAAAABQEAAA8AAAAAAAAAAQAgAAAAOAAAAGRycy9kb3ducmV2LnhtbFBL&#10;AQIUABQAAAAIAIdO4kDeMf1hsAEAAE4DAAAOAAAAAAAAAAEAIAAAADQ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2"/>
      </w:pBdr>
      <w:jc w:val="left"/>
      <w:rPr>
        <w:rFonts w:ascii="Cambria" w:hAnsi="Cambria"/>
      </w:rPr>
    </w:pPr>
    <w:r>
      <w:rPr>
        <w:rFonts w:hint="eastAsia" w:ascii="Cambria" w:hAnsi="Cambria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722AAC"/>
    <w:multiLevelType w:val="singleLevel"/>
    <w:tmpl w:val="CE722AA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01F0FE1"/>
    <w:multiLevelType w:val="multilevel"/>
    <w:tmpl w:val="201F0FE1"/>
    <w:lvl w:ilvl="0" w:tentative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2346ED9"/>
    <w:multiLevelType w:val="multilevel"/>
    <w:tmpl w:val="22346ED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Times New Roman" w:hAnsi="Times New Roman" w:cs="Times New Roman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16023A"/>
    <w:multiLevelType w:val="multilevel"/>
    <w:tmpl w:val="281602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CA49D7"/>
    <w:multiLevelType w:val="multilevel"/>
    <w:tmpl w:val="2ECA49D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08A52DB"/>
    <w:multiLevelType w:val="multilevel"/>
    <w:tmpl w:val="308A52D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76705B"/>
    <w:multiLevelType w:val="multilevel"/>
    <w:tmpl w:val="3376705B"/>
    <w:lvl w:ilvl="0" w:tentative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7">
    <w:nsid w:val="3C73435D"/>
    <w:multiLevelType w:val="multilevel"/>
    <w:tmpl w:val="3C73435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77C28C9"/>
    <w:multiLevelType w:val="multilevel"/>
    <w:tmpl w:val="477C28C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310195"/>
    <w:multiLevelType w:val="multilevel"/>
    <w:tmpl w:val="51310195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576C05F3"/>
    <w:multiLevelType w:val="multilevel"/>
    <w:tmpl w:val="576C05F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C4C21CA"/>
    <w:multiLevelType w:val="multilevel"/>
    <w:tmpl w:val="5C4C21CA"/>
    <w:lvl w:ilvl="0" w:tentative="0">
      <w:start w:val="1"/>
      <w:numFmt w:val="chineseCountingThousand"/>
      <w:pStyle w:val="3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2">
    <w:nsid w:val="652054E7"/>
    <w:multiLevelType w:val="multilevel"/>
    <w:tmpl w:val="652054E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9A67918"/>
    <w:multiLevelType w:val="singleLevel"/>
    <w:tmpl w:val="69A67918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6B63043E"/>
    <w:multiLevelType w:val="multilevel"/>
    <w:tmpl w:val="6B63043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247F9D"/>
    <w:multiLevelType w:val="multilevel"/>
    <w:tmpl w:val="6F247F9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A9E53BD"/>
    <w:multiLevelType w:val="multilevel"/>
    <w:tmpl w:val="7A9E53BD"/>
    <w:lvl w:ilvl="0" w:tentative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12"/>
  </w:num>
  <w:num w:numId="8">
    <w:abstractNumId w:val="3"/>
  </w:num>
  <w:num w:numId="9">
    <w:abstractNumId w:val="9"/>
  </w:num>
  <w:num w:numId="10">
    <w:abstractNumId w:val="16"/>
  </w:num>
  <w:num w:numId="11">
    <w:abstractNumId w:val="14"/>
  </w:num>
  <w:num w:numId="12">
    <w:abstractNumId w:val="1"/>
  </w:num>
  <w:num w:numId="13">
    <w:abstractNumId w:val="10"/>
  </w:num>
  <w:num w:numId="14">
    <w:abstractNumId w:val="15"/>
  </w:num>
  <w:num w:numId="15">
    <w:abstractNumId w:val="2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5C"/>
    <w:rsid w:val="0000006C"/>
    <w:rsid w:val="00000C5F"/>
    <w:rsid w:val="00003B57"/>
    <w:rsid w:val="0000707A"/>
    <w:rsid w:val="00013D8D"/>
    <w:rsid w:val="0001682B"/>
    <w:rsid w:val="00021A67"/>
    <w:rsid w:val="00023EC2"/>
    <w:rsid w:val="000274BC"/>
    <w:rsid w:val="00036ADA"/>
    <w:rsid w:val="00036C66"/>
    <w:rsid w:val="00036CCA"/>
    <w:rsid w:val="000371ED"/>
    <w:rsid w:val="00041A84"/>
    <w:rsid w:val="0004332E"/>
    <w:rsid w:val="00043B6D"/>
    <w:rsid w:val="00043C27"/>
    <w:rsid w:val="00050886"/>
    <w:rsid w:val="00050A4A"/>
    <w:rsid w:val="0005318B"/>
    <w:rsid w:val="0005793F"/>
    <w:rsid w:val="000602EE"/>
    <w:rsid w:val="00061755"/>
    <w:rsid w:val="00063F12"/>
    <w:rsid w:val="0006520D"/>
    <w:rsid w:val="00075CC6"/>
    <w:rsid w:val="00076C6C"/>
    <w:rsid w:val="00080E39"/>
    <w:rsid w:val="000811A5"/>
    <w:rsid w:val="00085142"/>
    <w:rsid w:val="0009149E"/>
    <w:rsid w:val="0009221F"/>
    <w:rsid w:val="000923F8"/>
    <w:rsid w:val="00095938"/>
    <w:rsid w:val="00096C33"/>
    <w:rsid w:val="000A3A4C"/>
    <w:rsid w:val="000A5A35"/>
    <w:rsid w:val="000A7E0B"/>
    <w:rsid w:val="000B303F"/>
    <w:rsid w:val="000C1CFD"/>
    <w:rsid w:val="000C252B"/>
    <w:rsid w:val="000C7260"/>
    <w:rsid w:val="000D1635"/>
    <w:rsid w:val="000D33C5"/>
    <w:rsid w:val="000D77E7"/>
    <w:rsid w:val="000E034C"/>
    <w:rsid w:val="000E038C"/>
    <w:rsid w:val="000E3E3F"/>
    <w:rsid w:val="000E42A3"/>
    <w:rsid w:val="000E6705"/>
    <w:rsid w:val="000F1287"/>
    <w:rsid w:val="000F1CFD"/>
    <w:rsid w:val="000F61EA"/>
    <w:rsid w:val="00100931"/>
    <w:rsid w:val="00105C96"/>
    <w:rsid w:val="0011351A"/>
    <w:rsid w:val="0011441A"/>
    <w:rsid w:val="001176C0"/>
    <w:rsid w:val="001201C9"/>
    <w:rsid w:val="00121408"/>
    <w:rsid w:val="00121CF6"/>
    <w:rsid w:val="00122574"/>
    <w:rsid w:val="00126A29"/>
    <w:rsid w:val="001377F0"/>
    <w:rsid w:val="001414B7"/>
    <w:rsid w:val="00144ADB"/>
    <w:rsid w:val="00146BBE"/>
    <w:rsid w:val="001508DB"/>
    <w:rsid w:val="00150B2A"/>
    <w:rsid w:val="0015151E"/>
    <w:rsid w:val="001515E9"/>
    <w:rsid w:val="00153C02"/>
    <w:rsid w:val="00154365"/>
    <w:rsid w:val="001560F8"/>
    <w:rsid w:val="001604D7"/>
    <w:rsid w:val="001612FF"/>
    <w:rsid w:val="00164510"/>
    <w:rsid w:val="0017061A"/>
    <w:rsid w:val="0017130A"/>
    <w:rsid w:val="00173243"/>
    <w:rsid w:val="00177B17"/>
    <w:rsid w:val="00181216"/>
    <w:rsid w:val="001851E4"/>
    <w:rsid w:val="00185A9D"/>
    <w:rsid w:val="00187066"/>
    <w:rsid w:val="001910F9"/>
    <w:rsid w:val="00191A69"/>
    <w:rsid w:val="001926E6"/>
    <w:rsid w:val="001935C4"/>
    <w:rsid w:val="00194A1D"/>
    <w:rsid w:val="00196E37"/>
    <w:rsid w:val="00196F3E"/>
    <w:rsid w:val="001975A5"/>
    <w:rsid w:val="00197D16"/>
    <w:rsid w:val="001A068A"/>
    <w:rsid w:val="001A0A42"/>
    <w:rsid w:val="001A3626"/>
    <w:rsid w:val="001A3CFB"/>
    <w:rsid w:val="001A4E87"/>
    <w:rsid w:val="001A5E88"/>
    <w:rsid w:val="001A692A"/>
    <w:rsid w:val="001A6F0D"/>
    <w:rsid w:val="001B0681"/>
    <w:rsid w:val="001B3863"/>
    <w:rsid w:val="001B6D86"/>
    <w:rsid w:val="001B7A4C"/>
    <w:rsid w:val="001C4F8F"/>
    <w:rsid w:val="001C65ED"/>
    <w:rsid w:val="001C7EE8"/>
    <w:rsid w:val="001D0210"/>
    <w:rsid w:val="001D16D4"/>
    <w:rsid w:val="001D2B64"/>
    <w:rsid w:val="001D319F"/>
    <w:rsid w:val="001D6F1F"/>
    <w:rsid w:val="001E15B8"/>
    <w:rsid w:val="001E3F7B"/>
    <w:rsid w:val="001E4799"/>
    <w:rsid w:val="001E56CE"/>
    <w:rsid w:val="001E6CA4"/>
    <w:rsid w:val="001E6DEA"/>
    <w:rsid w:val="001F0092"/>
    <w:rsid w:val="001F16D8"/>
    <w:rsid w:val="001F3111"/>
    <w:rsid w:val="001F34FB"/>
    <w:rsid w:val="001F37E9"/>
    <w:rsid w:val="001F4986"/>
    <w:rsid w:val="00200D6F"/>
    <w:rsid w:val="00202656"/>
    <w:rsid w:val="00217486"/>
    <w:rsid w:val="002201D6"/>
    <w:rsid w:val="00221482"/>
    <w:rsid w:val="00222525"/>
    <w:rsid w:val="0022275D"/>
    <w:rsid w:val="00222F7D"/>
    <w:rsid w:val="00230C8A"/>
    <w:rsid w:val="00232F41"/>
    <w:rsid w:val="00240091"/>
    <w:rsid w:val="00243588"/>
    <w:rsid w:val="00244425"/>
    <w:rsid w:val="00246256"/>
    <w:rsid w:val="00246605"/>
    <w:rsid w:val="002505DE"/>
    <w:rsid w:val="00254382"/>
    <w:rsid w:val="00255F32"/>
    <w:rsid w:val="00256AA6"/>
    <w:rsid w:val="00256AC9"/>
    <w:rsid w:val="00257B5F"/>
    <w:rsid w:val="00262496"/>
    <w:rsid w:val="002659ED"/>
    <w:rsid w:val="00267C95"/>
    <w:rsid w:val="00270DF6"/>
    <w:rsid w:val="00271F8C"/>
    <w:rsid w:val="00272420"/>
    <w:rsid w:val="00272BD6"/>
    <w:rsid w:val="0027670F"/>
    <w:rsid w:val="00280847"/>
    <w:rsid w:val="002830EE"/>
    <w:rsid w:val="0028749C"/>
    <w:rsid w:val="002932E5"/>
    <w:rsid w:val="0029709F"/>
    <w:rsid w:val="00297C2F"/>
    <w:rsid w:val="002B55F8"/>
    <w:rsid w:val="002B6C93"/>
    <w:rsid w:val="002C34A4"/>
    <w:rsid w:val="002C35B5"/>
    <w:rsid w:val="002C589D"/>
    <w:rsid w:val="002C6712"/>
    <w:rsid w:val="002D047D"/>
    <w:rsid w:val="002D0B97"/>
    <w:rsid w:val="002D40ED"/>
    <w:rsid w:val="002D61D3"/>
    <w:rsid w:val="002E0B05"/>
    <w:rsid w:val="002E3568"/>
    <w:rsid w:val="002E3C6E"/>
    <w:rsid w:val="002E428A"/>
    <w:rsid w:val="002F02C6"/>
    <w:rsid w:val="002F0950"/>
    <w:rsid w:val="002F1D92"/>
    <w:rsid w:val="002F4182"/>
    <w:rsid w:val="002F4FAE"/>
    <w:rsid w:val="002F5A26"/>
    <w:rsid w:val="00304311"/>
    <w:rsid w:val="00311087"/>
    <w:rsid w:val="00312E67"/>
    <w:rsid w:val="00320FC6"/>
    <w:rsid w:val="00324B4F"/>
    <w:rsid w:val="00334C2A"/>
    <w:rsid w:val="003353F5"/>
    <w:rsid w:val="003418C9"/>
    <w:rsid w:val="0034367E"/>
    <w:rsid w:val="00344033"/>
    <w:rsid w:val="00347C55"/>
    <w:rsid w:val="003520A4"/>
    <w:rsid w:val="00355B60"/>
    <w:rsid w:val="0036029B"/>
    <w:rsid w:val="003645B4"/>
    <w:rsid w:val="00364F57"/>
    <w:rsid w:val="00366FD7"/>
    <w:rsid w:val="00370326"/>
    <w:rsid w:val="00372BFC"/>
    <w:rsid w:val="0037354B"/>
    <w:rsid w:val="00373E05"/>
    <w:rsid w:val="00374A44"/>
    <w:rsid w:val="00376309"/>
    <w:rsid w:val="00377CD5"/>
    <w:rsid w:val="003852FE"/>
    <w:rsid w:val="00391F4A"/>
    <w:rsid w:val="00391FFB"/>
    <w:rsid w:val="0039445B"/>
    <w:rsid w:val="003A4429"/>
    <w:rsid w:val="003A741E"/>
    <w:rsid w:val="003B6AD3"/>
    <w:rsid w:val="003C119B"/>
    <w:rsid w:val="003C248E"/>
    <w:rsid w:val="003D076E"/>
    <w:rsid w:val="003D1B6C"/>
    <w:rsid w:val="003D3B65"/>
    <w:rsid w:val="003D3F98"/>
    <w:rsid w:val="003D5BA1"/>
    <w:rsid w:val="003E363D"/>
    <w:rsid w:val="003E63CE"/>
    <w:rsid w:val="003E6C50"/>
    <w:rsid w:val="003F0EC0"/>
    <w:rsid w:val="003F7AA5"/>
    <w:rsid w:val="0040010F"/>
    <w:rsid w:val="004003B8"/>
    <w:rsid w:val="00400CFD"/>
    <w:rsid w:val="00401808"/>
    <w:rsid w:val="00405E5C"/>
    <w:rsid w:val="0041370F"/>
    <w:rsid w:val="00413AE2"/>
    <w:rsid w:val="0042015D"/>
    <w:rsid w:val="00423117"/>
    <w:rsid w:val="00423EDD"/>
    <w:rsid w:val="00432447"/>
    <w:rsid w:val="004350C9"/>
    <w:rsid w:val="00436E33"/>
    <w:rsid w:val="004376B7"/>
    <w:rsid w:val="00442D78"/>
    <w:rsid w:val="0044351F"/>
    <w:rsid w:val="004504F6"/>
    <w:rsid w:val="00450DF9"/>
    <w:rsid w:val="004521BE"/>
    <w:rsid w:val="00452960"/>
    <w:rsid w:val="00454097"/>
    <w:rsid w:val="00466CEE"/>
    <w:rsid w:val="00470D67"/>
    <w:rsid w:val="00471D1E"/>
    <w:rsid w:val="00472D32"/>
    <w:rsid w:val="00474A40"/>
    <w:rsid w:val="0047581E"/>
    <w:rsid w:val="0048086B"/>
    <w:rsid w:val="00483AA0"/>
    <w:rsid w:val="0048464F"/>
    <w:rsid w:val="004852F6"/>
    <w:rsid w:val="0048768B"/>
    <w:rsid w:val="004912EB"/>
    <w:rsid w:val="004935E3"/>
    <w:rsid w:val="004954DA"/>
    <w:rsid w:val="004956C2"/>
    <w:rsid w:val="00496536"/>
    <w:rsid w:val="0049732A"/>
    <w:rsid w:val="004A19A3"/>
    <w:rsid w:val="004A6E51"/>
    <w:rsid w:val="004A7069"/>
    <w:rsid w:val="004A74BB"/>
    <w:rsid w:val="004B228B"/>
    <w:rsid w:val="004B4BD6"/>
    <w:rsid w:val="004B55A6"/>
    <w:rsid w:val="004B5CF0"/>
    <w:rsid w:val="004C6361"/>
    <w:rsid w:val="004D0228"/>
    <w:rsid w:val="004D060C"/>
    <w:rsid w:val="004D19B4"/>
    <w:rsid w:val="004D1A6A"/>
    <w:rsid w:val="004D31DB"/>
    <w:rsid w:val="004E102F"/>
    <w:rsid w:val="004E308A"/>
    <w:rsid w:val="004E6BD5"/>
    <w:rsid w:val="004F618B"/>
    <w:rsid w:val="004F6D56"/>
    <w:rsid w:val="005129E3"/>
    <w:rsid w:val="00521418"/>
    <w:rsid w:val="00532475"/>
    <w:rsid w:val="00537869"/>
    <w:rsid w:val="005404AE"/>
    <w:rsid w:val="00541271"/>
    <w:rsid w:val="005439F2"/>
    <w:rsid w:val="00546854"/>
    <w:rsid w:val="0055298E"/>
    <w:rsid w:val="00567E11"/>
    <w:rsid w:val="00573B4B"/>
    <w:rsid w:val="005752FF"/>
    <w:rsid w:val="00576102"/>
    <w:rsid w:val="00581480"/>
    <w:rsid w:val="005825F3"/>
    <w:rsid w:val="00583319"/>
    <w:rsid w:val="005845E2"/>
    <w:rsid w:val="00584C75"/>
    <w:rsid w:val="00587519"/>
    <w:rsid w:val="00587861"/>
    <w:rsid w:val="00587AB5"/>
    <w:rsid w:val="0059032B"/>
    <w:rsid w:val="0059036B"/>
    <w:rsid w:val="00591D08"/>
    <w:rsid w:val="00592B59"/>
    <w:rsid w:val="00593B81"/>
    <w:rsid w:val="005942A3"/>
    <w:rsid w:val="005A1639"/>
    <w:rsid w:val="005A25E4"/>
    <w:rsid w:val="005A327A"/>
    <w:rsid w:val="005A7F5D"/>
    <w:rsid w:val="005B473A"/>
    <w:rsid w:val="005B57F9"/>
    <w:rsid w:val="005B7C89"/>
    <w:rsid w:val="005C187B"/>
    <w:rsid w:val="005C18D4"/>
    <w:rsid w:val="005C3EBD"/>
    <w:rsid w:val="005C547E"/>
    <w:rsid w:val="005C764D"/>
    <w:rsid w:val="005D0C49"/>
    <w:rsid w:val="005D13BC"/>
    <w:rsid w:val="005D54E0"/>
    <w:rsid w:val="005E15F0"/>
    <w:rsid w:val="005E18AC"/>
    <w:rsid w:val="005E4B1C"/>
    <w:rsid w:val="005E53DA"/>
    <w:rsid w:val="005E5BD5"/>
    <w:rsid w:val="005E5C59"/>
    <w:rsid w:val="005F0479"/>
    <w:rsid w:val="005F0716"/>
    <w:rsid w:val="005F256A"/>
    <w:rsid w:val="005F448F"/>
    <w:rsid w:val="005F460C"/>
    <w:rsid w:val="005F791D"/>
    <w:rsid w:val="0060015D"/>
    <w:rsid w:val="006061A1"/>
    <w:rsid w:val="0060716F"/>
    <w:rsid w:val="00611E38"/>
    <w:rsid w:val="006126F6"/>
    <w:rsid w:val="006176BC"/>
    <w:rsid w:val="00617D20"/>
    <w:rsid w:val="0062219E"/>
    <w:rsid w:val="00623E4D"/>
    <w:rsid w:val="00630FEE"/>
    <w:rsid w:val="0063236D"/>
    <w:rsid w:val="0063239A"/>
    <w:rsid w:val="0063246C"/>
    <w:rsid w:val="00633954"/>
    <w:rsid w:val="006348C1"/>
    <w:rsid w:val="0063556D"/>
    <w:rsid w:val="00636C94"/>
    <w:rsid w:val="00637434"/>
    <w:rsid w:val="006404BD"/>
    <w:rsid w:val="00640595"/>
    <w:rsid w:val="00643FBC"/>
    <w:rsid w:val="0064600F"/>
    <w:rsid w:val="006464DE"/>
    <w:rsid w:val="0065250C"/>
    <w:rsid w:val="006561FB"/>
    <w:rsid w:val="00656597"/>
    <w:rsid w:val="006566C4"/>
    <w:rsid w:val="00660296"/>
    <w:rsid w:val="00666984"/>
    <w:rsid w:val="0067516C"/>
    <w:rsid w:val="00676A3A"/>
    <w:rsid w:val="006841C2"/>
    <w:rsid w:val="006867F7"/>
    <w:rsid w:val="006943FA"/>
    <w:rsid w:val="00695180"/>
    <w:rsid w:val="00695AD6"/>
    <w:rsid w:val="0069747A"/>
    <w:rsid w:val="006A11C0"/>
    <w:rsid w:val="006A5B86"/>
    <w:rsid w:val="006A6EB1"/>
    <w:rsid w:val="006A781D"/>
    <w:rsid w:val="006B36A9"/>
    <w:rsid w:val="006C05DD"/>
    <w:rsid w:val="006C0D7D"/>
    <w:rsid w:val="006C1355"/>
    <w:rsid w:val="006C2AB1"/>
    <w:rsid w:val="006C5861"/>
    <w:rsid w:val="006C5F96"/>
    <w:rsid w:val="006C7BF0"/>
    <w:rsid w:val="006D180F"/>
    <w:rsid w:val="006D28AC"/>
    <w:rsid w:val="006D2C80"/>
    <w:rsid w:val="006D2F3A"/>
    <w:rsid w:val="006D65E4"/>
    <w:rsid w:val="006E5661"/>
    <w:rsid w:val="006E6DE7"/>
    <w:rsid w:val="006E7A0F"/>
    <w:rsid w:val="006E7B7F"/>
    <w:rsid w:val="006F0C02"/>
    <w:rsid w:val="006F14BF"/>
    <w:rsid w:val="006F156A"/>
    <w:rsid w:val="006F6A4D"/>
    <w:rsid w:val="006F6D59"/>
    <w:rsid w:val="00704D54"/>
    <w:rsid w:val="00704F44"/>
    <w:rsid w:val="00706E39"/>
    <w:rsid w:val="007173B1"/>
    <w:rsid w:val="00720819"/>
    <w:rsid w:val="00721349"/>
    <w:rsid w:val="00725917"/>
    <w:rsid w:val="0072710A"/>
    <w:rsid w:val="007304DB"/>
    <w:rsid w:val="0073314D"/>
    <w:rsid w:val="00745F1D"/>
    <w:rsid w:val="00746218"/>
    <w:rsid w:val="007514E4"/>
    <w:rsid w:val="00753202"/>
    <w:rsid w:val="007560A6"/>
    <w:rsid w:val="007566EA"/>
    <w:rsid w:val="007579A6"/>
    <w:rsid w:val="00770A79"/>
    <w:rsid w:val="00773140"/>
    <w:rsid w:val="007819D0"/>
    <w:rsid w:val="00782B15"/>
    <w:rsid w:val="00783161"/>
    <w:rsid w:val="007837F3"/>
    <w:rsid w:val="00785483"/>
    <w:rsid w:val="00787A60"/>
    <w:rsid w:val="00787BEA"/>
    <w:rsid w:val="00787E79"/>
    <w:rsid w:val="0079196F"/>
    <w:rsid w:val="00791BC7"/>
    <w:rsid w:val="007961F8"/>
    <w:rsid w:val="007968DD"/>
    <w:rsid w:val="007A6681"/>
    <w:rsid w:val="007B165C"/>
    <w:rsid w:val="007C004F"/>
    <w:rsid w:val="007C23BA"/>
    <w:rsid w:val="007C30EB"/>
    <w:rsid w:val="007D243C"/>
    <w:rsid w:val="007D39FD"/>
    <w:rsid w:val="007D680A"/>
    <w:rsid w:val="007D7240"/>
    <w:rsid w:val="007E225F"/>
    <w:rsid w:val="007E4CC7"/>
    <w:rsid w:val="007E7A26"/>
    <w:rsid w:val="007F0447"/>
    <w:rsid w:val="007F2DB7"/>
    <w:rsid w:val="007F353C"/>
    <w:rsid w:val="007F3634"/>
    <w:rsid w:val="007F3B59"/>
    <w:rsid w:val="007F55A8"/>
    <w:rsid w:val="007F7812"/>
    <w:rsid w:val="00801F32"/>
    <w:rsid w:val="0080522B"/>
    <w:rsid w:val="008155E4"/>
    <w:rsid w:val="00816AB0"/>
    <w:rsid w:val="00821E89"/>
    <w:rsid w:val="00822436"/>
    <w:rsid w:val="00824199"/>
    <w:rsid w:val="00825643"/>
    <w:rsid w:val="00825924"/>
    <w:rsid w:val="00827066"/>
    <w:rsid w:val="00827B94"/>
    <w:rsid w:val="008356D5"/>
    <w:rsid w:val="00842CF6"/>
    <w:rsid w:val="00843B70"/>
    <w:rsid w:val="00847079"/>
    <w:rsid w:val="008470D1"/>
    <w:rsid w:val="00851A1D"/>
    <w:rsid w:val="008531A2"/>
    <w:rsid w:val="008625EC"/>
    <w:rsid w:val="0086460C"/>
    <w:rsid w:val="008650CC"/>
    <w:rsid w:val="0087124F"/>
    <w:rsid w:val="00874866"/>
    <w:rsid w:val="00875BD4"/>
    <w:rsid w:val="00886A58"/>
    <w:rsid w:val="00891E48"/>
    <w:rsid w:val="00893403"/>
    <w:rsid w:val="00896568"/>
    <w:rsid w:val="0089719A"/>
    <w:rsid w:val="008A0511"/>
    <w:rsid w:val="008A13B1"/>
    <w:rsid w:val="008A36E9"/>
    <w:rsid w:val="008A488E"/>
    <w:rsid w:val="008B4781"/>
    <w:rsid w:val="008B50AF"/>
    <w:rsid w:val="008B6EC2"/>
    <w:rsid w:val="008C0D89"/>
    <w:rsid w:val="008C47B2"/>
    <w:rsid w:val="008D6CAA"/>
    <w:rsid w:val="008F31EA"/>
    <w:rsid w:val="008F47DA"/>
    <w:rsid w:val="008F50B3"/>
    <w:rsid w:val="008F6D8B"/>
    <w:rsid w:val="00903D87"/>
    <w:rsid w:val="00910143"/>
    <w:rsid w:val="00910895"/>
    <w:rsid w:val="00910EED"/>
    <w:rsid w:val="009160C5"/>
    <w:rsid w:val="00920A88"/>
    <w:rsid w:val="00921A32"/>
    <w:rsid w:val="00923B2F"/>
    <w:rsid w:val="00925F7D"/>
    <w:rsid w:val="00931893"/>
    <w:rsid w:val="009414ED"/>
    <w:rsid w:val="00943B87"/>
    <w:rsid w:val="00945CA4"/>
    <w:rsid w:val="00946403"/>
    <w:rsid w:val="009466CE"/>
    <w:rsid w:val="0095315F"/>
    <w:rsid w:val="00957406"/>
    <w:rsid w:val="0096189B"/>
    <w:rsid w:val="00963930"/>
    <w:rsid w:val="0097434D"/>
    <w:rsid w:val="0097472D"/>
    <w:rsid w:val="00975590"/>
    <w:rsid w:val="00976439"/>
    <w:rsid w:val="0098256E"/>
    <w:rsid w:val="00983F9F"/>
    <w:rsid w:val="0098465B"/>
    <w:rsid w:val="00984B0E"/>
    <w:rsid w:val="00985D19"/>
    <w:rsid w:val="009871E5"/>
    <w:rsid w:val="0099009E"/>
    <w:rsid w:val="009932C5"/>
    <w:rsid w:val="00994126"/>
    <w:rsid w:val="00994433"/>
    <w:rsid w:val="009A3415"/>
    <w:rsid w:val="009A34B0"/>
    <w:rsid w:val="009A4B58"/>
    <w:rsid w:val="009A551B"/>
    <w:rsid w:val="009A6DFC"/>
    <w:rsid w:val="009B047B"/>
    <w:rsid w:val="009B512A"/>
    <w:rsid w:val="009B6E85"/>
    <w:rsid w:val="009B70ED"/>
    <w:rsid w:val="009C0782"/>
    <w:rsid w:val="009C1DD6"/>
    <w:rsid w:val="009C2697"/>
    <w:rsid w:val="009C67AB"/>
    <w:rsid w:val="009C6EE5"/>
    <w:rsid w:val="009D0CFA"/>
    <w:rsid w:val="009D1A76"/>
    <w:rsid w:val="009D31BB"/>
    <w:rsid w:val="009D56AE"/>
    <w:rsid w:val="009E04EF"/>
    <w:rsid w:val="009E23AC"/>
    <w:rsid w:val="009F1F6D"/>
    <w:rsid w:val="009F4738"/>
    <w:rsid w:val="009F4D87"/>
    <w:rsid w:val="00A02B20"/>
    <w:rsid w:val="00A1313C"/>
    <w:rsid w:val="00A131D0"/>
    <w:rsid w:val="00A14371"/>
    <w:rsid w:val="00A20B39"/>
    <w:rsid w:val="00A2474B"/>
    <w:rsid w:val="00A302D8"/>
    <w:rsid w:val="00A3135F"/>
    <w:rsid w:val="00A31937"/>
    <w:rsid w:val="00A32035"/>
    <w:rsid w:val="00A322E5"/>
    <w:rsid w:val="00A3434A"/>
    <w:rsid w:val="00A37E28"/>
    <w:rsid w:val="00A44E28"/>
    <w:rsid w:val="00A546A1"/>
    <w:rsid w:val="00A54C55"/>
    <w:rsid w:val="00A55E64"/>
    <w:rsid w:val="00A65977"/>
    <w:rsid w:val="00A66A27"/>
    <w:rsid w:val="00A7365B"/>
    <w:rsid w:val="00A75DE9"/>
    <w:rsid w:val="00A76D04"/>
    <w:rsid w:val="00A80AFB"/>
    <w:rsid w:val="00A85AD9"/>
    <w:rsid w:val="00A8613F"/>
    <w:rsid w:val="00A867A5"/>
    <w:rsid w:val="00A90994"/>
    <w:rsid w:val="00A92A1F"/>
    <w:rsid w:val="00A96AF4"/>
    <w:rsid w:val="00AA0378"/>
    <w:rsid w:val="00AA09B1"/>
    <w:rsid w:val="00AA2716"/>
    <w:rsid w:val="00AA5771"/>
    <w:rsid w:val="00AB4188"/>
    <w:rsid w:val="00AC0CE3"/>
    <w:rsid w:val="00AC6E9A"/>
    <w:rsid w:val="00AD39A8"/>
    <w:rsid w:val="00AD3BA0"/>
    <w:rsid w:val="00AD54F8"/>
    <w:rsid w:val="00AD7A42"/>
    <w:rsid w:val="00AE1D68"/>
    <w:rsid w:val="00AE5146"/>
    <w:rsid w:val="00AE6FB9"/>
    <w:rsid w:val="00AF6993"/>
    <w:rsid w:val="00B00653"/>
    <w:rsid w:val="00B007D6"/>
    <w:rsid w:val="00B00894"/>
    <w:rsid w:val="00B03930"/>
    <w:rsid w:val="00B05F7D"/>
    <w:rsid w:val="00B069E3"/>
    <w:rsid w:val="00B10D40"/>
    <w:rsid w:val="00B208CF"/>
    <w:rsid w:val="00B22755"/>
    <w:rsid w:val="00B2496B"/>
    <w:rsid w:val="00B40A29"/>
    <w:rsid w:val="00B42A91"/>
    <w:rsid w:val="00B443EA"/>
    <w:rsid w:val="00B464B2"/>
    <w:rsid w:val="00B517A9"/>
    <w:rsid w:val="00B5284E"/>
    <w:rsid w:val="00B52A00"/>
    <w:rsid w:val="00B53C0F"/>
    <w:rsid w:val="00B55049"/>
    <w:rsid w:val="00B55955"/>
    <w:rsid w:val="00B62C4A"/>
    <w:rsid w:val="00B63934"/>
    <w:rsid w:val="00B63A89"/>
    <w:rsid w:val="00B65A95"/>
    <w:rsid w:val="00B6772E"/>
    <w:rsid w:val="00B74A5E"/>
    <w:rsid w:val="00B75264"/>
    <w:rsid w:val="00B75601"/>
    <w:rsid w:val="00B76835"/>
    <w:rsid w:val="00B76B36"/>
    <w:rsid w:val="00B833BE"/>
    <w:rsid w:val="00B84050"/>
    <w:rsid w:val="00B914F8"/>
    <w:rsid w:val="00B96286"/>
    <w:rsid w:val="00BA19A3"/>
    <w:rsid w:val="00BA1D7F"/>
    <w:rsid w:val="00BA1E74"/>
    <w:rsid w:val="00BA5315"/>
    <w:rsid w:val="00BB0A11"/>
    <w:rsid w:val="00BB3A79"/>
    <w:rsid w:val="00BB62F0"/>
    <w:rsid w:val="00BC19C3"/>
    <w:rsid w:val="00BC65EF"/>
    <w:rsid w:val="00BD1A04"/>
    <w:rsid w:val="00BD203E"/>
    <w:rsid w:val="00BD271D"/>
    <w:rsid w:val="00BD4016"/>
    <w:rsid w:val="00BD7221"/>
    <w:rsid w:val="00BD7636"/>
    <w:rsid w:val="00BE605B"/>
    <w:rsid w:val="00BE6AB5"/>
    <w:rsid w:val="00BF05A0"/>
    <w:rsid w:val="00BF05B8"/>
    <w:rsid w:val="00BF2157"/>
    <w:rsid w:val="00BF28DE"/>
    <w:rsid w:val="00BF2BF3"/>
    <w:rsid w:val="00BF3479"/>
    <w:rsid w:val="00C0057A"/>
    <w:rsid w:val="00C0127B"/>
    <w:rsid w:val="00C1123A"/>
    <w:rsid w:val="00C116D3"/>
    <w:rsid w:val="00C1397B"/>
    <w:rsid w:val="00C13CF6"/>
    <w:rsid w:val="00C17B01"/>
    <w:rsid w:val="00C22BA0"/>
    <w:rsid w:val="00C24B43"/>
    <w:rsid w:val="00C26748"/>
    <w:rsid w:val="00C30415"/>
    <w:rsid w:val="00C3087A"/>
    <w:rsid w:val="00C31A64"/>
    <w:rsid w:val="00C32BF1"/>
    <w:rsid w:val="00C3720C"/>
    <w:rsid w:val="00C40610"/>
    <w:rsid w:val="00C453D3"/>
    <w:rsid w:val="00C47F2D"/>
    <w:rsid w:val="00C52ED5"/>
    <w:rsid w:val="00C63DDC"/>
    <w:rsid w:val="00C679DA"/>
    <w:rsid w:val="00C71022"/>
    <w:rsid w:val="00C73462"/>
    <w:rsid w:val="00C7447A"/>
    <w:rsid w:val="00C774DF"/>
    <w:rsid w:val="00C77600"/>
    <w:rsid w:val="00C80959"/>
    <w:rsid w:val="00C86983"/>
    <w:rsid w:val="00C8746B"/>
    <w:rsid w:val="00C92A5C"/>
    <w:rsid w:val="00C93B9E"/>
    <w:rsid w:val="00C9616C"/>
    <w:rsid w:val="00C96174"/>
    <w:rsid w:val="00CA21D6"/>
    <w:rsid w:val="00CA524A"/>
    <w:rsid w:val="00CA5581"/>
    <w:rsid w:val="00CA5F86"/>
    <w:rsid w:val="00CA6279"/>
    <w:rsid w:val="00CA6ABB"/>
    <w:rsid w:val="00CB006D"/>
    <w:rsid w:val="00CB0E03"/>
    <w:rsid w:val="00CB0EF9"/>
    <w:rsid w:val="00CB1C5E"/>
    <w:rsid w:val="00CC37E4"/>
    <w:rsid w:val="00CC48C4"/>
    <w:rsid w:val="00CD1496"/>
    <w:rsid w:val="00CD2CEF"/>
    <w:rsid w:val="00CD795D"/>
    <w:rsid w:val="00CE092D"/>
    <w:rsid w:val="00CE5045"/>
    <w:rsid w:val="00CE6CBA"/>
    <w:rsid w:val="00CE7263"/>
    <w:rsid w:val="00CF12E7"/>
    <w:rsid w:val="00CF23F3"/>
    <w:rsid w:val="00CF41B0"/>
    <w:rsid w:val="00CF6035"/>
    <w:rsid w:val="00D06803"/>
    <w:rsid w:val="00D072C6"/>
    <w:rsid w:val="00D119DE"/>
    <w:rsid w:val="00D12409"/>
    <w:rsid w:val="00D13833"/>
    <w:rsid w:val="00D14F77"/>
    <w:rsid w:val="00D165DB"/>
    <w:rsid w:val="00D16668"/>
    <w:rsid w:val="00D16E61"/>
    <w:rsid w:val="00D2170F"/>
    <w:rsid w:val="00D22545"/>
    <w:rsid w:val="00D228E1"/>
    <w:rsid w:val="00D330D1"/>
    <w:rsid w:val="00D35EE8"/>
    <w:rsid w:val="00D361BA"/>
    <w:rsid w:val="00D36647"/>
    <w:rsid w:val="00D36FF1"/>
    <w:rsid w:val="00D414CE"/>
    <w:rsid w:val="00D42C62"/>
    <w:rsid w:val="00D45F45"/>
    <w:rsid w:val="00D465A1"/>
    <w:rsid w:val="00D50F16"/>
    <w:rsid w:val="00D60A3E"/>
    <w:rsid w:val="00D64192"/>
    <w:rsid w:val="00D64956"/>
    <w:rsid w:val="00D65980"/>
    <w:rsid w:val="00D65ED7"/>
    <w:rsid w:val="00D6797D"/>
    <w:rsid w:val="00D7071A"/>
    <w:rsid w:val="00D72E52"/>
    <w:rsid w:val="00D73801"/>
    <w:rsid w:val="00D73F61"/>
    <w:rsid w:val="00D74701"/>
    <w:rsid w:val="00D768D1"/>
    <w:rsid w:val="00D7738A"/>
    <w:rsid w:val="00D808C7"/>
    <w:rsid w:val="00D8619A"/>
    <w:rsid w:val="00D8774C"/>
    <w:rsid w:val="00D91B81"/>
    <w:rsid w:val="00D92529"/>
    <w:rsid w:val="00D93A1A"/>
    <w:rsid w:val="00D96D6F"/>
    <w:rsid w:val="00DB18BE"/>
    <w:rsid w:val="00DB1B00"/>
    <w:rsid w:val="00DB1FAD"/>
    <w:rsid w:val="00DB2741"/>
    <w:rsid w:val="00DB3D7B"/>
    <w:rsid w:val="00DB5A89"/>
    <w:rsid w:val="00DC0708"/>
    <w:rsid w:val="00DC3F45"/>
    <w:rsid w:val="00DC4486"/>
    <w:rsid w:val="00DC466B"/>
    <w:rsid w:val="00DC6C1D"/>
    <w:rsid w:val="00DC6C2E"/>
    <w:rsid w:val="00DD7815"/>
    <w:rsid w:val="00DE33B4"/>
    <w:rsid w:val="00DE5505"/>
    <w:rsid w:val="00DF2B4B"/>
    <w:rsid w:val="00DF4E0B"/>
    <w:rsid w:val="00E00DDA"/>
    <w:rsid w:val="00E064A4"/>
    <w:rsid w:val="00E066A6"/>
    <w:rsid w:val="00E07072"/>
    <w:rsid w:val="00E07F1A"/>
    <w:rsid w:val="00E11322"/>
    <w:rsid w:val="00E226AB"/>
    <w:rsid w:val="00E26D68"/>
    <w:rsid w:val="00E3295B"/>
    <w:rsid w:val="00E41611"/>
    <w:rsid w:val="00E424C0"/>
    <w:rsid w:val="00E45DC8"/>
    <w:rsid w:val="00E4785F"/>
    <w:rsid w:val="00E50AD4"/>
    <w:rsid w:val="00E57F59"/>
    <w:rsid w:val="00E60D59"/>
    <w:rsid w:val="00E61B69"/>
    <w:rsid w:val="00E64B99"/>
    <w:rsid w:val="00E65BD2"/>
    <w:rsid w:val="00E70CD1"/>
    <w:rsid w:val="00E72BBB"/>
    <w:rsid w:val="00E75280"/>
    <w:rsid w:val="00E7529A"/>
    <w:rsid w:val="00E76C75"/>
    <w:rsid w:val="00E778C1"/>
    <w:rsid w:val="00E80FC8"/>
    <w:rsid w:val="00E82098"/>
    <w:rsid w:val="00E82FEB"/>
    <w:rsid w:val="00E83240"/>
    <w:rsid w:val="00E84BC5"/>
    <w:rsid w:val="00E8751A"/>
    <w:rsid w:val="00E91CA5"/>
    <w:rsid w:val="00EA0DA5"/>
    <w:rsid w:val="00EA10C8"/>
    <w:rsid w:val="00EA797E"/>
    <w:rsid w:val="00EA7FD0"/>
    <w:rsid w:val="00EA7FDE"/>
    <w:rsid w:val="00EB1161"/>
    <w:rsid w:val="00EC340F"/>
    <w:rsid w:val="00EC7F9F"/>
    <w:rsid w:val="00ED0D81"/>
    <w:rsid w:val="00ED175E"/>
    <w:rsid w:val="00ED37C0"/>
    <w:rsid w:val="00ED3FD8"/>
    <w:rsid w:val="00EE551A"/>
    <w:rsid w:val="00EE7C59"/>
    <w:rsid w:val="00EF163A"/>
    <w:rsid w:val="00EF21FF"/>
    <w:rsid w:val="00F004B7"/>
    <w:rsid w:val="00F05567"/>
    <w:rsid w:val="00F0752B"/>
    <w:rsid w:val="00F13346"/>
    <w:rsid w:val="00F23108"/>
    <w:rsid w:val="00F24FF8"/>
    <w:rsid w:val="00F31C8F"/>
    <w:rsid w:val="00F32401"/>
    <w:rsid w:val="00F3388D"/>
    <w:rsid w:val="00F34387"/>
    <w:rsid w:val="00F3619A"/>
    <w:rsid w:val="00F36885"/>
    <w:rsid w:val="00F372DC"/>
    <w:rsid w:val="00F37D51"/>
    <w:rsid w:val="00F41D72"/>
    <w:rsid w:val="00F43E65"/>
    <w:rsid w:val="00F44E28"/>
    <w:rsid w:val="00F4778C"/>
    <w:rsid w:val="00F4779F"/>
    <w:rsid w:val="00F47F9A"/>
    <w:rsid w:val="00F538E8"/>
    <w:rsid w:val="00F54983"/>
    <w:rsid w:val="00F55901"/>
    <w:rsid w:val="00F579CB"/>
    <w:rsid w:val="00F602E1"/>
    <w:rsid w:val="00F60C06"/>
    <w:rsid w:val="00F717D8"/>
    <w:rsid w:val="00F7194D"/>
    <w:rsid w:val="00F7296B"/>
    <w:rsid w:val="00F72C3B"/>
    <w:rsid w:val="00F72E93"/>
    <w:rsid w:val="00F75EA3"/>
    <w:rsid w:val="00F7794E"/>
    <w:rsid w:val="00F86DA4"/>
    <w:rsid w:val="00F87181"/>
    <w:rsid w:val="00FA17DA"/>
    <w:rsid w:val="00FA1EA7"/>
    <w:rsid w:val="00FA2928"/>
    <w:rsid w:val="00FA3495"/>
    <w:rsid w:val="00FA6B6E"/>
    <w:rsid w:val="00FB01D4"/>
    <w:rsid w:val="00FB1FEB"/>
    <w:rsid w:val="00FB20EA"/>
    <w:rsid w:val="00FB29D3"/>
    <w:rsid w:val="00FB3C09"/>
    <w:rsid w:val="00FB51FF"/>
    <w:rsid w:val="00FB781B"/>
    <w:rsid w:val="00FC0030"/>
    <w:rsid w:val="00FC179B"/>
    <w:rsid w:val="00FC5966"/>
    <w:rsid w:val="00FC5DA4"/>
    <w:rsid w:val="00FD020A"/>
    <w:rsid w:val="00FD046F"/>
    <w:rsid w:val="00FD1BEC"/>
    <w:rsid w:val="00FD310F"/>
    <w:rsid w:val="00FD3ACF"/>
    <w:rsid w:val="00FD5AE5"/>
    <w:rsid w:val="00FD67B5"/>
    <w:rsid w:val="00FE0670"/>
    <w:rsid w:val="00FE645B"/>
    <w:rsid w:val="00FE726A"/>
    <w:rsid w:val="00FF0D82"/>
    <w:rsid w:val="00FF1152"/>
    <w:rsid w:val="00FF1E6C"/>
    <w:rsid w:val="00FF2B2F"/>
    <w:rsid w:val="00FF3F7E"/>
    <w:rsid w:val="01B23296"/>
    <w:rsid w:val="0788435C"/>
    <w:rsid w:val="0B78085A"/>
    <w:rsid w:val="19974052"/>
    <w:rsid w:val="1A7542A3"/>
    <w:rsid w:val="1F2D6939"/>
    <w:rsid w:val="217B56D8"/>
    <w:rsid w:val="28D10CEE"/>
    <w:rsid w:val="2A5B4649"/>
    <w:rsid w:val="2B161AC0"/>
    <w:rsid w:val="2EB72F30"/>
    <w:rsid w:val="3361608C"/>
    <w:rsid w:val="33C9650E"/>
    <w:rsid w:val="41F1089E"/>
    <w:rsid w:val="45D03933"/>
    <w:rsid w:val="480026C9"/>
    <w:rsid w:val="4A305DC6"/>
    <w:rsid w:val="4EFD466D"/>
    <w:rsid w:val="502D3C2B"/>
    <w:rsid w:val="51F9053D"/>
    <w:rsid w:val="531C6F26"/>
    <w:rsid w:val="59667D57"/>
    <w:rsid w:val="5B567B21"/>
    <w:rsid w:val="5E7FBBAE"/>
    <w:rsid w:val="5EAC72FE"/>
    <w:rsid w:val="65945A39"/>
    <w:rsid w:val="6DE3D876"/>
    <w:rsid w:val="FEFB38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paragraph" w:styleId="9">
    <w:name w:val="heading 7"/>
    <w:basedOn w:val="8"/>
    <w:next w:val="1"/>
    <w:link w:val="38"/>
    <w:qFormat/>
    <w:uiPriority w:val="0"/>
    <w:pPr>
      <w:numPr>
        <w:ilvl w:val="6"/>
      </w:numPr>
      <w:tabs>
        <w:tab w:val="left" w:pos="1800"/>
      </w:tabs>
      <w:spacing w:before="260" w:after="260"/>
      <w:jc w:val="left"/>
      <w:outlineLvl w:val="6"/>
    </w:pPr>
    <w:rPr>
      <w:rFonts w:ascii="Times New Roman" w:hAnsi="Times New Roman"/>
      <w:sz w:val="30"/>
      <w:szCs w:val="18"/>
    </w:rPr>
  </w:style>
  <w:style w:type="paragraph" w:styleId="10">
    <w:name w:val="heading 8"/>
    <w:basedOn w:val="9"/>
    <w:next w:val="1"/>
    <w:link w:val="39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40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思源宋体 CN Light" w:hAnsi="思源宋体 CN Light" w:cs="思源宋体 CN Light"/>
      <w:color w:val="000000"/>
      <w:szCs w:val="21"/>
    </w:rPr>
  </w:style>
  <w:style w:type="paragraph" w:styleId="12">
    <w:name w:val="Document Map"/>
    <w:basedOn w:val="1"/>
    <w:link w:val="35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4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5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paragraph" w:styleId="20">
    <w:name w:val="annotation subject"/>
    <w:basedOn w:val="13"/>
    <w:next w:val="13"/>
    <w:link w:val="42"/>
    <w:semiHidden/>
    <w:unhideWhenUsed/>
    <w:qFormat/>
    <w:uiPriority w:val="99"/>
    <w:rPr>
      <w:b/>
      <w:bCs/>
    </w:rPr>
  </w:style>
  <w:style w:type="character" w:styleId="23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Hyperlink"/>
    <w:basedOn w:val="22"/>
    <w:unhideWhenUsed/>
    <w:qFormat/>
    <w:uiPriority w:val="99"/>
    <w:rPr>
      <w:color w:val="0000FF"/>
      <w:u w:val="single"/>
    </w:rPr>
  </w:style>
  <w:style w:type="character" w:styleId="25">
    <w:name w:val="annotation reference"/>
    <w:basedOn w:val="22"/>
    <w:semiHidden/>
    <w:unhideWhenUsed/>
    <w:qFormat/>
    <w:uiPriority w:val="99"/>
    <w:rPr>
      <w:sz w:val="21"/>
      <w:szCs w:val="21"/>
    </w:rPr>
  </w:style>
  <w:style w:type="character" w:customStyle="1" w:styleId="26">
    <w:name w:val="标题 1 字符"/>
    <w:basedOn w:val="22"/>
    <w:link w:val="3"/>
    <w:qFormat/>
    <w:uiPriority w:val="0"/>
    <w:rPr>
      <w:b/>
      <w:bCs/>
      <w:kern w:val="44"/>
      <w:sz w:val="32"/>
      <w:szCs w:val="28"/>
    </w:rPr>
  </w:style>
  <w:style w:type="character" w:customStyle="1" w:styleId="27">
    <w:name w:val="标题 2 字符"/>
    <w:basedOn w:val="22"/>
    <w:link w:val="4"/>
    <w:qFormat/>
    <w:uiPriority w:val="0"/>
    <w:rPr>
      <w:b/>
      <w:bCs/>
      <w:kern w:val="2"/>
      <w:sz w:val="30"/>
      <w:szCs w:val="32"/>
    </w:rPr>
  </w:style>
  <w:style w:type="character" w:customStyle="1" w:styleId="28">
    <w:name w:val="标题 3 字符"/>
    <w:basedOn w:val="22"/>
    <w:link w:val="5"/>
    <w:qFormat/>
    <w:uiPriority w:val="0"/>
    <w:rPr>
      <w:b/>
      <w:bCs/>
      <w:kern w:val="2"/>
      <w:sz w:val="28"/>
      <w:szCs w:val="18"/>
    </w:rPr>
  </w:style>
  <w:style w:type="character" w:customStyle="1" w:styleId="29">
    <w:name w:val="标题 4 字符"/>
    <w:basedOn w:val="22"/>
    <w:link w:val="6"/>
    <w:qFormat/>
    <w:uiPriority w:val="0"/>
    <w:rPr>
      <w:b/>
      <w:bCs/>
      <w:kern w:val="2"/>
      <w:sz w:val="24"/>
      <w:szCs w:val="28"/>
    </w:rPr>
  </w:style>
  <w:style w:type="character" w:customStyle="1" w:styleId="30">
    <w:name w:val="标题 5 字符"/>
    <w:basedOn w:val="22"/>
    <w:link w:val="7"/>
    <w:qFormat/>
    <w:uiPriority w:val="0"/>
    <w:rPr>
      <w:b/>
      <w:bCs/>
      <w:kern w:val="2"/>
      <w:sz w:val="21"/>
      <w:szCs w:val="28"/>
    </w:rPr>
  </w:style>
  <w:style w:type="character" w:customStyle="1" w:styleId="31">
    <w:name w:val="标题 6 字符"/>
    <w:basedOn w:val="22"/>
    <w:link w:val="8"/>
    <w:qFormat/>
    <w:uiPriority w:val="0"/>
    <w:rPr>
      <w:rFonts w:ascii="Cambria" w:hAnsi="Cambria"/>
      <w:b/>
      <w:bCs/>
      <w:kern w:val="2"/>
      <w:sz w:val="24"/>
      <w:szCs w:val="24"/>
    </w:rPr>
  </w:style>
  <w:style w:type="character" w:customStyle="1" w:styleId="32">
    <w:name w:val="页眉 字符"/>
    <w:basedOn w:val="22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页脚 字符"/>
    <w:basedOn w:val="22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4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35">
    <w:name w:val="文档结构图 字符"/>
    <w:basedOn w:val="22"/>
    <w:link w:val="1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6">
    <w:name w:val="批注框文本 字符"/>
    <w:basedOn w:val="22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7">
    <w:name w:val="List Paragraph"/>
    <w:basedOn w:val="1"/>
    <w:qFormat/>
    <w:uiPriority w:val="34"/>
    <w:pPr>
      <w:ind w:firstLine="420" w:firstLineChars="200"/>
    </w:pPr>
  </w:style>
  <w:style w:type="character" w:customStyle="1" w:styleId="38">
    <w:name w:val="标题 7 字符"/>
    <w:basedOn w:val="22"/>
    <w:link w:val="9"/>
    <w:qFormat/>
    <w:uiPriority w:val="0"/>
    <w:rPr>
      <w:b/>
      <w:bCs/>
      <w:kern w:val="2"/>
      <w:sz w:val="30"/>
      <w:szCs w:val="18"/>
    </w:rPr>
  </w:style>
  <w:style w:type="character" w:customStyle="1" w:styleId="39">
    <w:name w:val="标题 8 字符"/>
    <w:basedOn w:val="22"/>
    <w:link w:val="10"/>
    <w:qFormat/>
    <w:uiPriority w:val="0"/>
    <w:rPr>
      <w:b/>
      <w:bCs/>
      <w:kern w:val="2"/>
      <w:sz w:val="30"/>
      <w:szCs w:val="18"/>
    </w:rPr>
  </w:style>
  <w:style w:type="character" w:customStyle="1" w:styleId="40">
    <w:name w:val="标题 9 字符"/>
    <w:basedOn w:val="22"/>
    <w:link w:val="11"/>
    <w:qFormat/>
    <w:uiPriority w:val="0"/>
    <w:rPr>
      <w:b/>
      <w:bCs/>
      <w:kern w:val="2"/>
      <w:sz w:val="30"/>
      <w:szCs w:val="18"/>
    </w:rPr>
  </w:style>
  <w:style w:type="character" w:customStyle="1" w:styleId="41">
    <w:name w:val="批注文字 字符"/>
    <w:basedOn w:val="22"/>
    <w:link w:val="13"/>
    <w:semiHidden/>
    <w:qFormat/>
    <w:uiPriority w:val="99"/>
    <w:rPr>
      <w:kern w:val="2"/>
      <w:sz w:val="21"/>
      <w:szCs w:val="24"/>
    </w:rPr>
  </w:style>
  <w:style w:type="character" w:customStyle="1" w:styleId="42">
    <w:name w:val="批注主题 字符"/>
    <w:basedOn w:val="41"/>
    <w:link w:val="20"/>
    <w:semiHidden/>
    <w:qFormat/>
    <w:uiPriority w:val="99"/>
    <w:rPr>
      <w:b/>
      <w:bCs/>
      <w:kern w:val="2"/>
      <w:sz w:val="21"/>
      <w:szCs w:val="24"/>
    </w:rPr>
  </w:style>
  <w:style w:type="paragraph" w:customStyle="1" w:styleId="43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numbering" Target="numbering.xml"/><Relationship Id="rId97" Type="http://schemas.openxmlformats.org/officeDocument/2006/relationships/customXml" Target="../customXml/item1.xml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41</Pages>
  <Words>6397</Words>
  <Characters>6695</Characters>
  <Lines>181</Lines>
  <Paragraphs>51</Paragraphs>
  <TotalTime>10</TotalTime>
  <ScaleCrop>false</ScaleCrop>
  <LinksUpToDate>false</LinksUpToDate>
  <CharactersWithSpaces>6797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2014-05-08T02:25:00Z</dcterms:created>
  <dc:creator>NTKO</dc:creator>
  <cp:lastModifiedBy>huanghe</cp:lastModifiedBy>
  <dcterms:modified xsi:type="dcterms:W3CDTF">2025-09-12T19:15:33Z</dcterms:modified>
  <cp:revision>778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  <property fmtid="{D5CDD505-2E9C-101B-9397-08002B2CF9AE}" pid="3" name="ICV">
    <vt:lpwstr>96D9B8906C4B1E9CE6F0C368B1809F3A_43</vt:lpwstr>
  </property>
  <property fmtid="{D5CDD505-2E9C-101B-9397-08002B2CF9AE}" pid="4" name="KSOTemplateDocerSaveRecord">
    <vt:lpwstr>eyJoZGlkIjoiZjdjOGViODE0ZjY1MDg0ODIzZDlkZWU5NDQwMjE3YTUiLCJ1c2VySWQiOiIyMTA4MzkwNzcifQ==</vt:lpwstr>
  </property>
</Properties>
</file>