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BC404"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drawing>
          <wp:inline distT="0" distB="0" distL="114300" distR="114300">
            <wp:extent cx="1755775" cy="1746885"/>
            <wp:effectExtent l="0" t="0" r="0" b="0"/>
            <wp:docPr id="25" name="图片 25" descr="a4d30c36b169714687967e9c3338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d30c36b169714687967e9c333871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AB1D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河南省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4CA9F57D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定标委员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）</w:t>
      </w:r>
    </w:p>
    <w:p w14:paraId="7C3350A7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F77AF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272CBF16">
      <w:pPr>
        <w:pStyle w:val="2"/>
        <w:spacing w:line="360" w:lineRule="auto"/>
        <w:ind w:firstLine="0" w:firstLineChars="0"/>
        <w:rPr>
          <w:rFonts w:hint="eastAsia"/>
        </w:r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61BBCEE7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_Toc10874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定标评委操作流程</w:t>
      </w:r>
      <w:r>
        <w:tab/>
      </w:r>
      <w:r>
        <w:fldChar w:fldCharType="begin"/>
      </w:r>
      <w:r>
        <w:instrText xml:space="preserve"> PAGEREF _Toc10874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BD8CF5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_Toc25547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_Toc25547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C35ADBC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_Toc7351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_Toc7351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38DB4D1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_Toc25225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第2章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票决定标法</w:t>
      </w:r>
      <w:r>
        <w:tab/>
      </w:r>
      <w:r>
        <w:fldChar w:fldCharType="begin"/>
      </w:r>
      <w:r>
        <w:instrText xml:space="preserve"> PAGEREF _Toc25225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96FC1DF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_Toc8642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2.1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定标委员会评审</w:t>
      </w:r>
      <w:r>
        <w:tab/>
      </w:r>
      <w:r>
        <w:fldChar w:fldCharType="begin"/>
      </w:r>
      <w:r>
        <w:instrText xml:space="preserve"> PAGEREF _Toc8642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3B668D2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_Toc19130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2.1.1 评委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投票</w:t>
      </w:r>
      <w:r>
        <w:tab/>
      </w:r>
      <w:r>
        <w:fldChar w:fldCharType="begin"/>
      </w:r>
      <w:r>
        <w:instrText xml:space="preserve"> PAGEREF _Toc19130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C168023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_Toc4564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2.1.2 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查看投票结果</w:t>
      </w:r>
      <w:r>
        <w:tab/>
      </w:r>
      <w:r>
        <w:fldChar w:fldCharType="begin"/>
      </w:r>
      <w:r>
        <w:instrText xml:space="preserve"> PAGEREF _Toc4564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1A12E02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_Toc21682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评审汇总</w:t>
      </w:r>
      <w:r>
        <w:tab/>
      </w:r>
      <w:r>
        <w:fldChar w:fldCharType="begin"/>
      </w:r>
      <w:r>
        <w:instrText xml:space="preserve"> PAGEREF _Toc21682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C6F1D89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_Toc26887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2.3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定标报告</w:t>
      </w:r>
      <w:r>
        <w:tab/>
      </w:r>
      <w:r>
        <w:fldChar w:fldCharType="begin"/>
      </w:r>
      <w:r>
        <w:instrText xml:space="preserve"> PAGEREF _Toc26887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B224CFB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_Toc25831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2.4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定标委员签章</w:t>
      </w:r>
      <w:r>
        <w:tab/>
      </w:r>
      <w:r>
        <w:fldChar w:fldCharType="begin"/>
      </w:r>
      <w:r>
        <w:instrText xml:space="preserve"> PAGEREF _Toc25831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bookmarkStart w:id="0" w:name="_Toc10874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定标评委操作流程</w:t>
      </w:r>
      <w:bookmarkEnd w:id="0"/>
    </w:p>
    <w:p w14:paraId="5EE9B82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7238"/>
      <w:bookmarkStart w:id="2" w:name="_Toc25547"/>
      <w:bookmarkStart w:id="3" w:name="_Toc3280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  <w:bookmarkEnd w:id="2"/>
      <w:bookmarkEnd w:id="3"/>
    </w:p>
    <w:p w14:paraId="2E3D9373"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（http://hnsggzyjy.henan.gov.cn/DingBiao/bidpages/common/login/loginpb）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定标委员。</w:t>
      </w:r>
    </w:p>
    <w:p w14:paraId="50DA6A6B">
      <w:pPr>
        <w:pStyle w:val="2"/>
        <w:rPr>
          <w:rFonts w:hint="default" w:eastAsia="宋体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定标电脑通过账户密码登录（账户密码由代理机构手动生成后提供）。</w:t>
      </w:r>
      <w:r>
        <w:rPr>
          <w:rFonts w:hint="eastAsia" w:ascii="思源宋体 CN Light" w:hAnsi="思源宋体 CN Light" w:eastAsia="思源宋体 CN Light" w:cs="思源宋体 CN Light"/>
        </w:rPr>
        <w:t>输入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账户和</w:t>
      </w:r>
      <w:r>
        <w:rPr>
          <w:rFonts w:hint="eastAsia" w:ascii="思源宋体 CN Light" w:hAnsi="思源宋体 CN Light" w:eastAsia="思源宋体 CN Light" w:cs="思源宋体 CN Light"/>
        </w:rPr>
        <w:t>密码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/>
          <w:lang w:val="en-US" w:eastAsia="zh-CN"/>
        </w:rPr>
        <w:t>定标评委登录页面如下图：</w:t>
      </w:r>
    </w:p>
    <w:p w14:paraId="51DB80D4">
      <w:pPr>
        <w:spacing w:line="360" w:lineRule="auto"/>
      </w:pPr>
      <w:r>
        <w:drawing>
          <wp:inline distT="0" distB="0" distL="114300" distR="114300">
            <wp:extent cx="6480175" cy="241173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03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1CF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选择“定标委员”身份，输入账号密码，即可登录进入定标系统。</w:t>
      </w:r>
    </w:p>
    <w:p w14:paraId="4FF68B11">
      <w:pPr>
        <w:pStyle w:val="2"/>
        <w:ind w:left="0" w:leftChars="0" w:firstLine="0" w:firstLineChars="0"/>
      </w:pPr>
    </w:p>
    <w:p w14:paraId="6420BC25">
      <w:pPr>
        <w:pStyle w:val="2"/>
        <w:ind w:left="0" w:leftChars="0" w:firstLine="0" w:firstLineChars="0"/>
      </w:pPr>
      <w:r>
        <w:drawing>
          <wp:inline distT="0" distB="0" distL="114300" distR="114300">
            <wp:extent cx="6480175" cy="253047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99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6B2C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4" w:name="_Toc735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4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bookmarkStart w:id="14" w:name="_GoBack"/>
      <w:bookmarkEnd w:id="14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A4B013D">
      <w:pPr>
        <w:pStyle w:val="2"/>
        <w:spacing w:line="360" w:lineRule="auto"/>
        <w:ind w:firstLine="0" w:firstLineChars="0"/>
      </w:pPr>
    </w:p>
    <w:p w14:paraId="623AB264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4967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4055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B6B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定标评委签到</w:t>
      </w:r>
    </w:p>
    <w:p w14:paraId="13488A0C">
      <w:pPr>
        <w:bidi w:val="0"/>
        <w:spacing w:line="360" w:lineRule="auto"/>
        <w:ind w:firstLine="420" w:firstLineChars="0"/>
        <w:rPr>
          <w:rFonts w:hint="eastAsia" w:ascii="思源宋体 CN Light" w:hAnsi="思源宋体 CN Light" w:eastAsia="思源宋体 CN Light" w:cs="思源宋体 CN 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color w:val="000000"/>
          <w:kern w:val="2"/>
          <w:sz w:val="21"/>
          <w:szCs w:val="20"/>
          <w:lang w:val="en-US" w:eastAsia="zh-CN" w:bidi="ar-SA"/>
        </w:rPr>
        <w:t>进入标段后，系统弹出签到页面，请确认评委姓名、身份证号码等信息，可以填写完善页面其他信息，然后点击【签到】按钮完成签到操作。如下图：</w:t>
      </w:r>
    </w:p>
    <w:p w14:paraId="779D6CC0">
      <w:pPr>
        <w:pStyle w:val="2"/>
        <w:spacing w:line="360" w:lineRule="auto"/>
        <w:ind w:firstLine="0" w:firstLineChars="0"/>
      </w:pPr>
    </w:p>
    <w:p w14:paraId="0EC080F6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5771515" cy="3141980"/>
            <wp:effectExtent l="0" t="0" r="0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1D91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阅读定标纪律</w:t>
      </w:r>
    </w:p>
    <w:p w14:paraId="1F29E622">
      <w:pPr>
        <w:pStyle w:val="2"/>
        <w:spacing w:line="360" w:lineRule="auto"/>
        <w:ind w:firstLine="420" w:firstLineChars="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进入标段后，先点击页面上方的“定标纪律”，如下图：</w:t>
      </w:r>
    </w:p>
    <w:p w14:paraId="1BB28A00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039485" cy="3200400"/>
            <wp:effectExtent l="0" t="0" r="889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CA7">
      <w:pPr>
        <w:spacing w:line="360" w:lineRule="auto"/>
        <w:ind w:firstLine="42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该按钮刚开始为灰色（此时无法点击），10秒钟倒计时结束后变为蓝色（此时可以点击）。请仔细阅读定标会议纪律内容，阅读完成后点击【我已阅读并承诺遵守定标会议纪律】按钮。</w:t>
      </w:r>
    </w:p>
    <w:p w14:paraId="5A22930F">
      <w:pPr>
        <w:pStyle w:val="2"/>
        <w:spacing w:line="360" w:lineRule="auto"/>
        <w:ind w:firstLine="0" w:firstLineChars="0"/>
      </w:pPr>
    </w:p>
    <w:p w14:paraId="7A58F053">
      <w:pPr>
        <w:pStyle w:val="2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3022600"/>
            <wp:effectExtent l="0" t="0" r="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43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查看项目信息</w:t>
      </w:r>
    </w:p>
    <w:p w14:paraId="4FEF820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完成定标纪律操作后，点击“项目信息”，可查看项目信息。如下图：</w:t>
      </w:r>
    </w:p>
    <w:p w14:paraId="6D5BB56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普通评委可点击此页面右上角的【提问】按钮向评委组长进行提问，评委组长可在此页面进行回复，评委组长无【提问】按钮。</w:t>
      </w:r>
    </w:p>
    <w:p w14:paraId="4EEE1C82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点击页面右侧【更多】按钮，可查看招标文件、投标文件、评标报告、重置定标流程等（只有评委组长有重置定标流程功能）。</w:t>
      </w:r>
    </w:p>
    <w:p w14:paraId="6BF4E9AD">
      <w:pPr>
        <w:pStyle w:val="2"/>
        <w:spacing w:line="360" w:lineRule="auto"/>
        <w:ind w:left="0" w:leftChars="0" w:firstLine="0" w:firstLineChars="0"/>
      </w:pP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981835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t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442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评委回避</w:t>
      </w:r>
    </w:p>
    <w:p w14:paraId="631775DF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完成“项目信息”操作后，点击“委员回避”，请所有评委仔细查看定标候选人名称和《定标委员会成员回避承诺书》，若无需回避，请点击右侧【提交】按钮即可。</w:t>
      </w:r>
    </w:p>
    <w:p w14:paraId="11AF8D9E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若需要回避，请点击“操作”列下的【回避】按钮进行回避，回避后无法进行后续的定标评审。如下图：</w:t>
      </w:r>
    </w:p>
    <w:p w14:paraId="5FFEB0F3">
      <w:pPr>
        <w:pStyle w:val="2"/>
        <w:spacing w:line="360" w:lineRule="auto"/>
        <w:ind w:left="0" w:leftChars="0" w:firstLine="0" w:firstLineChars="0"/>
      </w:pPr>
    </w:p>
    <w:p w14:paraId="11B856E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3028315"/>
            <wp:effectExtent l="0" t="0" r="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t="709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2A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委员核查</w:t>
      </w:r>
    </w:p>
    <w:p w14:paraId="5102C01E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委员核查”，定标委员会应严格按照招标文件中载明的核查内容和方式进行核查，招标文件中没有规定的核查标准和方法不得作为定标核查的依据，不得在定标过程中随意新增定标资格条件和要求。</w:t>
      </w:r>
    </w:p>
    <w:p w14:paraId="70C3C025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由定标评委组长将核查结果和核查意见录入定标系统中并完成提交。核查结果不通过的投标单位不进入后续定标环节。</w:t>
      </w:r>
    </w:p>
    <w:p w14:paraId="0C769F53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定标委员会各成员对录入的核查结果和核查意见确认无误后（如下图），可进行下一个“核查报告”环节。</w:t>
      </w:r>
    </w:p>
    <w:p w14:paraId="341FE1CC">
      <w:pPr>
        <w:pStyle w:val="2"/>
        <w:spacing w:line="360" w:lineRule="auto"/>
        <w:ind w:left="0" w:leftChars="0" w:firstLine="0" w:firstLineChars="0"/>
      </w:pPr>
    </w:p>
    <w:p w14:paraId="4137F6D5">
      <w:pPr>
        <w:pStyle w:val="2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480175" cy="2288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t="540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994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核查报告</w:t>
      </w:r>
    </w:p>
    <w:p w14:paraId="071B27EB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完成“委员核查”操作后，点击“核查报告”，由定标评委组长进行核查报告的编辑调整和保存（如下图）。</w:t>
      </w:r>
    </w:p>
    <w:p w14:paraId="5375BBAC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定标委员会各成员对核查报告内容确认无误后，可进行下一个“开启定标”环节。</w:t>
      </w:r>
    </w:p>
    <w:p w14:paraId="16E9CB7A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如果发现核查报告内容需要调整，由定标评委组长点击页面上的【重置】按钮，重置后评委组长可再次修改核查报告内容。</w:t>
      </w:r>
    </w:p>
    <w:p w14:paraId="2C6853D0">
      <w:pPr>
        <w:pStyle w:val="2"/>
        <w:spacing w:line="360" w:lineRule="auto"/>
        <w:ind w:left="0" w:leftChars="0" w:firstLine="0" w:firstLineChars="0"/>
      </w:pPr>
    </w:p>
    <w:p w14:paraId="48331CA0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480175" cy="2971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t="429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984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开启定标</w:t>
      </w:r>
    </w:p>
    <w:p w14:paraId="7C215641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ab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完成“委员回避”操作后，点击“开启定标”进入开启定标页面，仅评委组长需要在此页面上点击【开启定标】按钮，其他评委可查看定标办法名称。</w:t>
      </w:r>
    </w:p>
    <w:p w14:paraId="1E3D2B45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组长在点击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【开启定标】按钮前，应先确认该页面上的定标办法是否与招标文件（澄清答疑文件）中定标办法一致，确认一致后再点【开启定标】按钮；若不一致，请反馈给交易中心工作人员。</w:t>
      </w:r>
    </w:p>
    <w:p w14:paraId="5D37B3C9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注意：定标系统中只显示招标代理机构在发布招标文件（答疑澄清文件）时选择的定标办法，并只能按该定标办法进行评审。</w:t>
      </w:r>
    </w:p>
    <w:p w14:paraId="7306DD03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3035300"/>
            <wp:effectExtent l="0" t="0" r="0" b="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t="58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9EC4710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 xml:space="preserve">  </w:t>
      </w:r>
      <w:bookmarkStart w:id="5" w:name="_Toc25225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票决定标法</w:t>
      </w:r>
      <w:bookmarkEnd w:id="5"/>
    </w:p>
    <w:p w14:paraId="086F12E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6" w:name="_Toc864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定标委员会评审</w:t>
      </w:r>
      <w:bookmarkEnd w:id="6"/>
    </w:p>
    <w:p w14:paraId="1F6A3263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完成“开启定标”操作后，评委组长应点击“定标委员会评审”，点击该页面右侧的【开始投票】按钮，然后所有评委才可以进行投票操作。如下图：</w:t>
      </w:r>
    </w:p>
    <w:p w14:paraId="7698B6D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2279015"/>
            <wp:effectExtent l="0" t="0" r="0" b="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rcRect t="78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09DF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备注：所有评委可以点击页面右侧的【更多】按钮，查看招标文件、投标文件、评标报告等内容（第一次点击【更多】会打开下拉子菜单，再次点击</w:t>
      </w:r>
      <w:r>
        <w:rPr>
          <w:rFonts w:hint="eastAsia" w:ascii="Times New Roman" w:eastAsia="宋体"/>
          <w:lang w:val="en-US" w:eastAsia="zh-CN"/>
        </w:rPr>
        <w:t>【更多】</w:t>
      </w:r>
      <w:r>
        <w:rPr>
          <w:rFonts w:hint="eastAsia"/>
          <w:lang w:val="en-US" w:eastAsia="zh-CN"/>
        </w:rPr>
        <w:t>后会关闭下拉子菜单），仅评委组长有重置定标流程功能，如下图：</w:t>
      </w:r>
    </w:p>
    <w:p w14:paraId="5A012C97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480175" cy="1554480"/>
            <wp:effectExtent l="0" t="0" r="9525" b="762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t="980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B4F9">
      <w:pPr>
        <w:pStyle w:val="6"/>
        <w:spacing w:line="360" w:lineRule="auto"/>
        <w:rPr>
          <w:rFonts w:ascii="思源宋体 CN Light" w:hAnsi="思源宋体 CN Light" w:eastAsia="思源宋体 CN Light" w:cs="思源宋体 CN Light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 xml:space="preserve"> </w:t>
      </w:r>
      <w:bookmarkStart w:id="7" w:name="_Toc19130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评委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投票</w:t>
      </w:r>
      <w:bookmarkEnd w:id="7"/>
    </w:p>
    <w:p w14:paraId="3B2F1A6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033AC96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对于每轮投票，所有评委每人投一票，如果首轮投票后产生得票数过半的定标候选人，则会直接产生第一名（中标人）；若未产生得票数过半的定标候选人，则会进入下一轮投票，直至产生中标人。</w:t>
      </w:r>
    </w:p>
    <w:p w14:paraId="471A5F2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投票操作：在“定标委员会评审”页面，点击被投票的定标候选人最右侧“操作”列的【投票】按钮，在弹出的投票页面上录入理由后，点击下方【确认】按钮，然后点击【提交】按钮，完成投票操作，如下图：</w:t>
      </w:r>
    </w:p>
    <w:p w14:paraId="186DC357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投票后发现投错了，在未点击【提交】之前，可以点击真正要投标定标候选人最右侧“操作”列的【投票】按钮进行重新投票，会以最新最后一次投票为准。若已点过【提交】则只能由评委组长在【更多】中进行重置定标流程。</w:t>
      </w:r>
    </w:p>
    <w:p w14:paraId="3700538C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1649730"/>
            <wp:effectExtent l="0" t="0" r="0" b="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t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1F7F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299720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t="56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E3B9">
      <w:r>
        <w:br w:type="page"/>
      </w:r>
    </w:p>
    <w:p w14:paraId="51D9FD15">
      <w:pPr>
        <w:pStyle w:val="6"/>
        <w:spacing w:line="360" w:lineRule="auto"/>
        <w:rPr>
          <w:rFonts w:ascii="思源宋体 CN Light" w:hAnsi="思源宋体 CN Light" w:eastAsia="思源宋体 CN Light" w:cs="思源宋体 CN Light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 xml:space="preserve"> </w:t>
      </w:r>
      <w:bookmarkStart w:id="8" w:name="_Toc4564"/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查看投票结果</w:t>
      </w:r>
      <w:bookmarkEnd w:id="8"/>
    </w:p>
    <w:p w14:paraId="649A9AC1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在“定标委员会评审”页面，所有评委都完成投票并提交后，刷新页面后，页面会展示各定标候选人的得票数、投票结果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1A2FCBA9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93215"/>
            <wp:effectExtent l="0" t="0" r="0" b="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rcRect t="87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8AFD">
      <w:pPr>
        <w:pStyle w:val="4"/>
        <w:spacing w:line="360" w:lineRule="auto"/>
        <w:ind w:left="0" w:leftChars="0" w:firstLine="0" w:firstLineChars="0"/>
      </w:pPr>
    </w:p>
    <w:p w14:paraId="58969575">
      <w:pPr>
        <w:pStyle w:val="4"/>
        <w:spacing w:line="360" w:lineRule="auto"/>
        <w:ind w:left="0" w:leftChars="0" w:firstLine="0" w:firstLineChars="0"/>
      </w:pPr>
    </w:p>
    <w:p w14:paraId="4B1BF30C">
      <w:pPr>
        <w:pStyle w:val="4"/>
        <w:spacing w:line="360" w:lineRule="auto"/>
        <w:ind w:left="0" w:leftChars="0" w:firstLine="0" w:firstLineChars="0"/>
      </w:pPr>
    </w:p>
    <w:p w14:paraId="36A4DB4D">
      <w:pPr>
        <w:pStyle w:val="4"/>
        <w:spacing w:line="360" w:lineRule="auto"/>
        <w:ind w:firstLine="0" w:firstLineChars="0"/>
      </w:pPr>
    </w:p>
    <w:p w14:paraId="6D7DE8B2">
      <w:r>
        <w:br w:type="page"/>
      </w:r>
    </w:p>
    <w:p w14:paraId="7C38BB68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9" w:name="_Toc2168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评审汇总</w:t>
      </w:r>
      <w:bookmarkEnd w:id="9"/>
    </w:p>
    <w:p w14:paraId="5C740166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在“评审汇总”页面，在“推荐中标候选人”列选择中标人。评委组长应招标文件（澄清答疑文件）中实际定标办法内容选择中标人，定标系统支持选择三个中标候选人，也可以只选择一个中标人。</w:t>
      </w:r>
    </w:p>
    <w:p w14:paraId="20F398D1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6ACB3297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625600"/>
            <wp:effectExtent l="0" t="0" r="0" b="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rcRect t="99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21E9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0" w:name="_Toc26887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定标报告</w:t>
      </w:r>
      <w:bookmarkEnd w:id="10"/>
    </w:p>
    <w:p w14:paraId="4935FD5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bookmarkStart w:id="11" w:name="_初步评审打分"/>
      <w:bookmarkEnd w:id="1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1D4DD795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4F725751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11780"/>
            <wp:effectExtent l="0" t="0" r="0" b="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rcRect t="568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0B61">
      <w:pPr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AF70974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2" w:name="_Toc2583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定标委员签章</w:t>
      </w:r>
      <w:bookmarkEnd w:id="12"/>
    </w:p>
    <w:p w14:paraId="1F4C90E8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1A649D4E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72C5F634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45435"/>
            <wp:effectExtent l="0" t="0" r="0" b="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rcRect t="44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9186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4B87C88A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36F2974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8A23D5D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6390"/>
            <wp:effectExtent l="0" t="0" r="0" b="0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CE79">
      <w:pPr>
        <w:keepNext/>
        <w:keepLines/>
        <w:widowControl w:val="0"/>
        <w:numPr>
          <w:ilvl w:val="0"/>
          <w:numId w:val="1"/>
        </w:numPr>
        <w:spacing w:before="340" w:after="330" w:line="360" w:lineRule="auto"/>
        <w:jc w:val="both"/>
        <w:outlineLvl w:val="0"/>
        <w:rPr>
          <w:rFonts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  <w:t xml:space="preserve">  集体议事法</w:t>
      </w:r>
    </w:p>
    <w:p w14:paraId="7BE05E60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定标委员会评审</w:t>
      </w:r>
    </w:p>
    <w:p w14:paraId="09AD15A7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完成“开启定标”操作后，评委组长应点击“定标委员会评审”，点击该页面右侧的【开启议事】按钮，然后所有评委才可以进行推荐操作。如下图：</w:t>
      </w:r>
    </w:p>
    <w:p w14:paraId="3BE8379E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504940" cy="1134745"/>
            <wp:effectExtent l="0" t="0" r="63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FD21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518275" cy="1510665"/>
            <wp:effectExtent l="0" t="0" r="6350" b="381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AF11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备注：所有评委可以点击页面右侧的【更多】按钮，查看招标文件、投标文件、评标报告等内容（第一次点击【更多】会打开下拉子菜单，再次点击</w:t>
      </w:r>
      <w:r>
        <w:rPr>
          <w:rFonts w:hint="eastAsia" w:ascii="Times New Roman" w:eastAsia="宋体"/>
          <w:lang w:val="en-US" w:eastAsia="zh-CN"/>
        </w:rPr>
        <w:t>【更多】</w:t>
      </w:r>
      <w:r>
        <w:rPr>
          <w:rFonts w:hint="eastAsia"/>
          <w:lang w:val="en-US" w:eastAsia="zh-CN"/>
        </w:rPr>
        <w:t>后会关闭下拉子菜单），仅评委组长有重置定标流程功能，如下图：</w:t>
      </w:r>
    </w:p>
    <w:p w14:paraId="53E284FA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480175" cy="1522095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t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7B5D">
      <w:pPr>
        <w:keepNext/>
        <w:keepLines/>
        <w:widowControl w:val="0"/>
        <w:numPr>
          <w:ilvl w:val="2"/>
          <w:numId w:val="1"/>
        </w:numPr>
        <w:spacing w:before="260" w:after="260" w:line="360" w:lineRule="auto"/>
        <w:jc w:val="both"/>
        <w:outlineLvl w:val="2"/>
        <w:rPr>
          <w:rFonts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  <w:t xml:space="preserve"> 评委议事</w:t>
      </w:r>
    </w:p>
    <w:p w14:paraId="28E902F2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2593CC66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1、定标委员会成员集体商议，各自对通过核查的中标候选人进行投票并且发表推荐意见，最终由定标委员会组长综合各成员意见确定中标人。</w:t>
      </w:r>
    </w:p>
    <w:p w14:paraId="371832B8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2、所有定标委员会成员的意见应当作书面记录，并由定标委员会成员签字确认。</w:t>
      </w:r>
    </w:p>
    <w:p w14:paraId="1F3804F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推荐后发现投错了，在未点击【提交】之前，可以点击真正要投标定标候选人最右侧“操作”列的【推荐】按钮进行重新投票，会以最新最后一次投票为准。若已点过【提交】则只能由评委组长在【更多】中进行重置定标流程。</w:t>
      </w:r>
    </w:p>
    <w:p w14:paraId="1F6E8B93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925310" cy="1616075"/>
            <wp:effectExtent l="0" t="0" r="8890" b="317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624D">
      <w:pPr>
        <w:pStyle w:val="4"/>
        <w:spacing w:line="360" w:lineRule="auto"/>
        <w:ind w:firstLine="0" w:firstLineChars="0"/>
      </w:pPr>
    </w:p>
    <w:p w14:paraId="6A059E3E">
      <w:pPr>
        <w:pStyle w:val="4"/>
        <w:spacing w:line="360" w:lineRule="auto"/>
        <w:ind w:firstLine="0" w:firstLineChars="0"/>
      </w:pPr>
      <w:r>
        <w:br w:type="page"/>
      </w:r>
    </w:p>
    <w:p w14:paraId="00B8EE36">
      <w:pPr>
        <w:keepNext/>
        <w:keepLines/>
        <w:widowControl w:val="0"/>
        <w:numPr>
          <w:ilvl w:val="2"/>
          <w:numId w:val="1"/>
        </w:numPr>
        <w:spacing w:before="260" w:after="260" w:line="360" w:lineRule="auto"/>
        <w:jc w:val="both"/>
        <w:outlineLvl w:val="2"/>
        <w:rPr>
          <w:rFonts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  <w:t xml:space="preserve"> 查看议事结果</w:t>
      </w:r>
    </w:p>
    <w:p w14:paraId="0DB49A94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在“定标委员会评审”页面，所有评委都完成投票并提交后，刷新页面后，页面会展示各定标候选人的推荐次数及推荐结果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3BAACE1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84325"/>
            <wp:effectExtent l="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rcRect t="92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58B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评审汇总</w:t>
      </w:r>
    </w:p>
    <w:p w14:paraId="6C3985AC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在“评审汇总”页面，在“确认中标人”列选择中标人。评委组长应招标文件（澄清答疑文件）中实际定标办法内容选择中标人。</w:t>
      </w:r>
    </w:p>
    <w:p w14:paraId="3B5092D6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796AE799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787515" cy="1186815"/>
            <wp:effectExtent l="0" t="0" r="3810" b="381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99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定标报告</w:t>
      </w:r>
    </w:p>
    <w:p w14:paraId="4C20422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5A02A37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5915DAE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04795"/>
            <wp:effectExtent l="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rcRect t="59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4F34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定标委员签章</w:t>
      </w:r>
    </w:p>
    <w:p w14:paraId="005B05B1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19AC78D5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099ED52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30830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rcRect t="49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DAA6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1330793F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44EE4DFE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1EDE2A0E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8930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rcRect t="43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7D22">
      <w:pPr>
        <w:keepNext/>
        <w:keepLines/>
        <w:widowControl w:val="0"/>
        <w:numPr>
          <w:ilvl w:val="0"/>
          <w:numId w:val="1"/>
        </w:numPr>
        <w:spacing w:before="340" w:after="330" w:line="360" w:lineRule="auto"/>
        <w:jc w:val="both"/>
        <w:outlineLvl w:val="0"/>
        <w:rPr>
          <w:rFonts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  <w:t xml:space="preserve">  核查随机法</w:t>
      </w:r>
    </w:p>
    <w:p w14:paraId="267941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随机抽取</w:t>
      </w:r>
    </w:p>
    <w:p w14:paraId="6A39B190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完成“开启定标”操作后，点击“随机抽取”，由定标评委组长点击该页面右侧的【线下抽取】按钮，然后在蓝色弹框中选择中标人名次。如下图：</w:t>
      </w:r>
    </w:p>
    <w:p w14:paraId="5DE4145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25590" cy="2680970"/>
            <wp:effectExtent l="0" t="0" r="381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A711">
      <w:pPr>
        <w:pStyle w:val="4"/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如果招标文件中规定需要随机选定第二名、第三名作为中标候选人，重复上述操作即可。</w:t>
      </w:r>
    </w:p>
    <w:p w14:paraId="787E86C1">
      <w:pPr>
        <w:pStyle w:val="4"/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随机抽取完成后，定标评委组长点击页面右侧【确认结果】按钮，然后定标委员会各成员均可在“随机抽取”页面上看到随机抽取结果。如果看不到，请刷新页面。</w:t>
      </w:r>
    </w:p>
    <w:p w14:paraId="3BD35F27">
      <w:pPr>
        <w:pStyle w:val="4"/>
        <w:spacing w:line="360" w:lineRule="auto"/>
        <w:ind w:left="0" w:leftChars="0"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086485"/>
            <wp:effectExtent l="0" t="0" r="0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rcRect t="98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28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定标报告</w:t>
      </w:r>
    </w:p>
    <w:p w14:paraId="7F374A0A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24D6917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65806DA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783840"/>
            <wp:effectExtent l="0" t="0" r="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rcRect t="510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6FCF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定标委员签章</w:t>
      </w:r>
    </w:p>
    <w:p w14:paraId="385C8675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所有评委需在“定标委员签章”页面进行签章（集体签章）。</w:t>
      </w:r>
    </w:p>
    <w:p w14:paraId="32E594A3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29634284">
      <w:pPr>
        <w:pStyle w:val="4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drawing>
          <wp:inline distT="0" distB="0" distL="114300" distR="114300">
            <wp:extent cx="6480175" cy="2056765"/>
            <wp:effectExtent l="0" t="0" r="0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rcRect t="64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9681"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 w14:paraId="560EBFF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1E1C1E0D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5BFF2EDF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FB56E50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4226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rcRect t="519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4DB2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bookmarkStart w:id="13" w:name="_Toc6360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注意事项</w:t>
      </w:r>
      <w:bookmarkEnd w:id="13"/>
    </w:p>
    <w:p w14:paraId="0484648B">
      <w:pPr>
        <w:pStyle w:val="27"/>
        <w:spacing w:before="0" w:beforeAutospacing="0" w:after="0" w:afterAutospacing="0" w:line="360" w:lineRule="auto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当前标段评审完成后，所有评委可点击页面上方的【切换标段】按钮，切换进入其他标段进行定标评审。如下图：</w:t>
      </w:r>
    </w:p>
    <w:p w14:paraId="3BD140F2">
      <w:pPr>
        <w:pStyle w:val="27"/>
        <w:spacing w:before="0" w:beforeAutospacing="0" w:after="0" w:afterAutospacing="0" w:line="360" w:lineRule="auto"/>
      </w:pPr>
    </w:p>
    <w:p w14:paraId="65CEB307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1512570"/>
            <wp:effectExtent l="0" t="0" r="0" b="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rcRect t="997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B340">
      <w:pPr>
        <w:pStyle w:val="27"/>
        <w:spacing w:before="0" w:beforeAutospacing="0" w:after="0" w:afterAutospacing="0" w:line="360" w:lineRule="auto"/>
      </w:pPr>
    </w:p>
    <w:p w14:paraId="6F0B6832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252210" cy="1870075"/>
            <wp:effectExtent l="0" t="0" r="0" b="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rcRect l="3518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r>
      <w:rPr>
        <w:rFonts w:hint="eastAsia" w:ascii="思源宋体 CN Light" w:hAnsi="思源宋体 CN Light" w:eastAsia="思源宋体 CN Light" w:cs="思源宋体 CN Light"/>
        <w:lang w:val="en-US" w:eastAsia="zh-CN"/>
      </w:rPr>
      <w:drawing>
        <wp:inline distT="0" distB="0" distL="114300" distR="114300">
          <wp:extent cx="190500" cy="189865"/>
          <wp:effectExtent l="0" t="0" r="0" b="635"/>
          <wp:docPr id="24" name="图片 24" descr="a4d30c36b169714687967e9c33387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a4d30c36b169714687967e9c3338716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河南省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linkStyles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7D31AE"/>
    <w:rsid w:val="01A434AA"/>
    <w:rsid w:val="01BB7833"/>
    <w:rsid w:val="01F9467B"/>
    <w:rsid w:val="02E37DDC"/>
    <w:rsid w:val="02F456F2"/>
    <w:rsid w:val="032A4C70"/>
    <w:rsid w:val="036B62CA"/>
    <w:rsid w:val="038D51FF"/>
    <w:rsid w:val="049931E6"/>
    <w:rsid w:val="05137F6D"/>
    <w:rsid w:val="05C64B04"/>
    <w:rsid w:val="05C93E03"/>
    <w:rsid w:val="05FC5B57"/>
    <w:rsid w:val="060A0EA6"/>
    <w:rsid w:val="06344F7E"/>
    <w:rsid w:val="063876A4"/>
    <w:rsid w:val="074E4EB4"/>
    <w:rsid w:val="08AA64A3"/>
    <w:rsid w:val="09542264"/>
    <w:rsid w:val="095D624D"/>
    <w:rsid w:val="0A170EA8"/>
    <w:rsid w:val="0A274546"/>
    <w:rsid w:val="0A9554F0"/>
    <w:rsid w:val="0ABB6AF5"/>
    <w:rsid w:val="0B6E3F73"/>
    <w:rsid w:val="0BFE3961"/>
    <w:rsid w:val="0D2560E5"/>
    <w:rsid w:val="0DBB5A1E"/>
    <w:rsid w:val="0DBD4932"/>
    <w:rsid w:val="0F254881"/>
    <w:rsid w:val="107D6751"/>
    <w:rsid w:val="109E4EEF"/>
    <w:rsid w:val="10AF1810"/>
    <w:rsid w:val="11123AEA"/>
    <w:rsid w:val="11991213"/>
    <w:rsid w:val="1274141C"/>
    <w:rsid w:val="12774DC3"/>
    <w:rsid w:val="12FB03D7"/>
    <w:rsid w:val="133B07D3"/>
    <w:rsid w:val="141D6308"/>
    <w:rsid w:val="1552177C"/>
    <w:rsid w:val="16CD3E38"/>
    <w:rsid w:val="172847D0"/>
    <w:rsid w:val="17B119DD"/>
    <w:rsid w:val="17D42FA4"/>
    <w:rsid w:val="18356E45"/>
    <w:rsid w:val="183C74C7"/>
    <w:rsid w:val="18B52DD6"/>
    <w:rsid w:val="19CE23A1"/>
    <w:rsid w:val="1AFA0F74"/>
    <w:rsid w:val="1B193AF0"/>
    <w:rsid w:val="1B3319AC"/>
    <w:rsid w:val="1B357E9C"/>
    <w:rsid w:val="1C0741C7"/>
    <w:rsid w:val="1C304BA3"/>
    <w:rsid w:val="1C3B4DCB"/>
    <w:rsid w:val="1D1327C1"/>
    <w:rsid w:val="1D7E7C3A"/>
    <w:rsid w:val="1DC53ABB"/>
    <w:rsid w:val="1DF3687A"/>
    <w:rsid w:val="1E884867"/>
    <w:rsid w:val="1F642E60"/>
    <w:rsid w:val="1F90754D"/>
    <w:rsid w:val="204E5F93"/>
    <w:rsid w:val="20B80648"/>
    <w:rsid w:val="20D8145E"/>
    <w:rsid w:val="22716E90"/>
    <w:rsid w:val="25372380"/>
    <w:rsid w:val="254C0D1C"/>
    <w:rsid w:val="2560231B"/>
    <w:rsid w:val="26932C86"/>
    <w:rsid w:val="27D24385"/>
    <w:rsid w:val="295B769E"/>
    <w:rsid w:val="2A377FCA"/>
    <w:rsid w:val="2A570191"/>
    <w:rsid w:val="2AAD2C06"/>
    <w:rsid w:val="2ACC0FDE"/>
    <w:rsid w:val="2C6D55AF"/>
    <w:rsid w:val="2C882884"/>
    <w:rsid w:val="2C9F0AEC"/>
    <w:rsid w:val="2CBA6853"/>
    <w:rsid w:val="2D7E2B7A"/>
    <w:rsid w:val="2DC25921"/>
    <w:rsid w:val="2E6D5B2D"/>
    <w:rsid w:val="2EC97183"/>
    <w:rsid w:val="2ED973C6"/>
    <w:rsid w:val="2F155D6A"/>
    <w:rsid w:val="2FCA2F05"/>
    <w:rsid w:val="310224D9"/>
    <w:rsid w:val="31124A3E"/>
    <w:rsid w:val="31686B6C"/>
    <w:rsid w:val="327F01F1"/>
    <w:rsid w:val="32876812"/>
    <w:rsid w:val="33482D6D"/>
    <w:rsid w:val="33BA44E1"/>
    <w:rsid w:val="343F7812"/>
    <w:rsid w:val="34BA3748"/>
    <w:rsid w:val="350F73DF"/>
    <w:rsid w:val="351D1FD7"/>
    <w:rsid w:val="35A00782"/>
    <w:rsid w:val="35C97A69"/>
    <w:rsid w:val="369E4A52"/>
    <w:rsid w:val="36E061C9"/>
    <w:rsid w:val="37D050DF"/>
    <w:rsid w:val="380729ED"/>
    <w:rsid w:val="3845401F"/>
    <w:rsid w:val="38782AA4"/>
    <w:rsid w:val="38E14570"/>
    <w:rsid w:val="395922D9"/>
    <w:rsid w:val="39D844E3"/>
    <w:rsid w:val="3AC4360F"/>
    <w:rsid w:val="3AC84793"/>
    <w:rsid w:val="3BD86C58"/>
    <w:rsid w:val="3BF13876"/>
    <w:rsid w:val="3C0F729C"/>
    <w:rsid w:val="3C371BD0"/>
    <w:rsid w:val="3C3C2286"/>
    <w:rsid w:val="3E131761"/>
    <w:rsid w:val="3EAB7422"/>
    <w:rsid w:val="3FB53538"/>
    <w:rsid w:val="403129F6"/>
    <w:rsid w:val="41220B52"/>
    <w:rsid w:val="42C409C3"/>
    <w:rsid w:val="43DB72E5"/>
    <w:rsid w:val="44C15625"/>
    <w:rsid w:val="45225470"/>
    <w:rsid w:val="458361D0"/>
    <w:rsid w:val="4779309D"/>
    <w:rsid w:val="485070F1"/>
    <w:rsid w:val="48931F3C"/>
    <w:rsid w:val="491D5CAA"/>
    <w:rsid w:val="4A8038E4"/>
    <w:rsid w:val="4AE90E79"/>
    <w:rsid w:val="4B185D9A"/>
    <w:rsid w:val="4B2772B4"/>
    <w:rsid w:val="4B390012"/>
    <w:rsid w:val="4BF821AF"/>
    <w:rsid w:val="4D471547"/>
    <w:rsid w:val="4D513FA5"/>
    <w:rsid w:val="4D704F42"/>
    <w:rsid w:val="4FB629B4"/>
    <w:rsid w:val="500228FF"/>
    <w:rsid w:val="50037B8F"/>
    <w:rsid w:val="501C6CBB"/>
    <w:rsid w:val="51266A33"/>
    <w:rsid w:val="51354AB9"/>
    <w:rsid w:val="52476E5F"/>
    <w:rsid w:val="527A416D"/>
    <w:rsid w:val="529B480F"/>
    <w:rsid w:val="52A04BA2"/>
    <w:rsid w:val="533D7674"/>
    <w:rsid w:val="53EE1A54"/>
    <w:rsid w:val="544664FC"/>
    <w:rsid w:val="553A3451"/>
    <w:rsid w:val="560836D8"/>
    <w:rsid w:val="5816094C"/>
    <w:rsid w:val="581F7959"/>
    <w:rsid w:val="58242BB1"/>
    <w:rsid w:val="59EF36A1"/>
    <w:rsid w:val="5C0351D3"/>
    <w:rsid w:val="5C5F5933"/>
    <w:rsid w:val="5C6B34A4"/>
    <w:rsid w:val="5C6B7B4E"/>
    <w:rsid w:val="5C82259C"/>
    <w:rsid w:val="5EE832F7"/>
    <w:rsid w:val="5F61647A"/>
    <w:rsid w:val="5FB34D9F"/>
    <w:rsid w:val="603D7153"/>
    <w:rsid w:val="60425CF7"/>
    <w:rsid w:val="60771CEC"/>
    <w:rsid w:val="609E596F"/>
    <w:rsid w:val="60F45EE1"/>
    <w:rsid w:val="612C6242"/>
    <w:rsid w:val="626E3587"/>
    <w:rsid w:val="62CF5C7E"/>
    <w:rsid w:val="632641AF"/>
    <w:rsid w:val="641D1699"/>
    <w:rsid w:val="65BF660F"/>
    <w:rsid w:val="66365292"/>
    <w:rsid w:val="66C512CC"/>
    <w:rsid w:val="66E77BCB"/>
    <w:rsid w:val="67254250"/>
    <w:rsid w:val="67465D06"/>
    <w:rsid w:val="67582877"/>
    <w:rsid w:val="678F2440"/>
    <w:rsid w:val="67B54DCE"/>
    <w:rsid w:val="67D07C52"/>
    <w:rsid w:val="687F15A9"/>
    <w:rsid w:val="689C5A6E"/>
    <w:rsid w:val="68E819D9"/>
    <w:rsid w:val="68F117DF"/>
    <w:rsid w:val="6935685F"/>
    <w:rsid w:val="696E0130"/>
    <w:rsid w:val="6A0E7F33"/>
    <w:rsid w:val="6CF97DEE"/>
    <w:rsid w:val="6E333BF5"/>
    <w:rsid w:val="6E48334B"/>
    <w:rsid w:val="6E50493C"/>
    <w:rsid w:val="6F5A4F08"/>
    <w:rsid w:val="7030776F"/>
    <w:rsid w:val="70B76860"/>
    <w:rsid w:val="70E565D3"/>
    <w:rsid w:val="71902C0D"/>
    <w:rsid w:val="725531A4"/>
    <w:rsid w:val="74605CF2"/>
    <w:rsid w:val="74C031EC"/>
    <w:rsid w:val="76981305"/>
    <w:rsid w:val="769838C9"/>
    <w:rsid w:val="76F04A18"/>
    <w:rsid w:val="76F459ED"/>
    <w:rsid w:val="787B05C8"/>
    <w:rsid w:val="78E26444"/>
    <w:rsid w:val="78E73A5B"/>
    <w:rsid w:val="79215134"/>
    <w:rsid w:val="79264CD1"/>
    <w:rsid w:val="793E2143"/>
    <w:rsid w:val="793F7694"/>
    <w:rsid w:val="79B06543"/>
    <w:rsid w:val="79D00993"/>
    <w:rsid w:val="7AD7365B"/>
    <w:rsid w:val="7AF94F76"/>
    <w:rsid w:val="7B4E1B6F"/>
    <w:rsid w:val="7BE129E3"/>
    <w:rsid w:val="7C4371FA"/>
    <w:rsid w:val="7C5738FA"/>
    <w:rsid w:val="7D2B5226"/>
    <w:rsid w:val="7D501527"/>
    <w:rsid w:val="7E1370A0"/>
    <w:rsid w:val="7E5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22</Pages>
  <Words>27</Words>
  <Characters>27</Characters>
  <Lines>74</Lines>
  <Paragraphs>20</Paragraphs>
  <TotalTime>55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NTKO</cp:lastModifiedBy>
  <cp:lastPrinted>2005-05-10T00:36:00Z</cp:lastPrinted>
  <dcterms:modified xsi:type="dcterms:W3CDTF">2025-09-01T03:06:53Z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EEF77B149192485D991F1562ABF8BD8D_13</vt:lpwstr>
  </property>
  <property fmtid="{D5CDD505-2E9C-101B-9397-08002B2CF9AE}" pid="4" name="KSOTemplateDocerSaveRecord">
    <vt:lpwstr>eyJoZGlkIjoiZjdjOGViODE0ZjY1MDg0ODIzZDlkZWU5NDQwMjE3YTUiLCJ1c2VySWQiOiIyMTA4MzkwNzcifQ==</vt:lpwstr>
  </property>
</Properties>
</file>